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3b4d98eb048d94e3338d36dcc40d9e9d79efdb"/>
    <w:p>
      <w:pPr>
        <w:pStyle w:val="Heading1"/>
      </w:pPr>
      <w:r>
        <w:t xml:space="preserve">Master Thesis: The Role of Politicians in Shaping Governance and Society in Iran, Tehran</w:t>
      </w:r>
    </w:p>
    <w:p>
      <w:pPr>
        <w:pStyle w:val="FirstParagraph"/>
      </w:pPr>
      <w:r>
        <w:rPr>
          <w:bCs/>
          <w:b/>
        </w:rPr>
        <w:t xml:space="preserve">Master Thesis</w:t>
      </w:r>
      <w:r>
        <w:t xml:space="preserve">: This document explores the multifaceted role of</w:t>
      </w:r>
      <w:r>
        <w:t xml:space="preserve"> </w:t>
      </w:r>
      <w:r>
        <w:rPr>
          <w:bCs/>
          <w:b/>
        </w:rPr>
        <w:t xml:space="preserve">Politician</w:t>
      </w:r>
      <w:r>
        <w:t xml:space="preserve">s in</w:t>
      </w:r>
      <w:r>
        <w:t xml:space="preserve"> </w:t>
      </w:r>
      <w:r>
        <w:rPr>
          <w:iCs/>
          <w:i/>
        </w:rPr>
        <w:t xml:space="preserve">Iran Tehran</w:t>
      </w:r>
      <w:r>
        <w:t xml:space="preserve">, examining their influence on political dynamics, policy formulation, and societal development. As the capital of Iran and a hub of governance, Tehran serves as a microcosm of national political trends while maintaining its unique socio-political identity. This thesis analyzes how politicians in Tehran navigate the interplay between state authority, public expectations, and regional challenges to shape the trajectory of Iran's political landscape.</w:t>
      </w:r>
    </w:p>
    <w:bookmarkStart w:id="20" w:name="introduction"/>
    <w:p>
      <w:pPr>
        <w:pStyle w:val="Heading2"/>
      </w:pPr>
      <w:r>
        <w:t xml:space="preserve">Introduction</w:t>
      </w:r>
    </w:p>
    <w:p>
      <w:pPr>
        <w:pStyle w:val="FirstParagraph"/>
      </w:pPr>
      <w:r>
        <w:t xml:space="preserve">Tehran, as the administrative and cultural heart of</w:t>
      </w:r>
      <w:r>
        <w:t xml:space="preserve"> </w:t>
      </w:r>
      <w:r>
        <w:rPr>
          <w:bCs/>
          <w:b/>
        </w:rPr>
        <w:t xml:space="preserve">Iran</w:t>
      </w:r>
      <w:r>
        <w:t xml:space="preserve">, is home to key political institutions such as the Supreme Leadership Council, the Majles (Parliament), and various executive agencies. The role of</w:t>
      </w:r>
      <w:r>
        <w:t xml:space="preserve"> </w:t>
      </w:r>
      <w:r>
        <w:rPr>
          <w:bCs/>
          <w:b/>
        </w:rPr>
        <w:t xml:space="preserve">Politician</w:t>
      </w:r>
      <w:r>
        <w:t xml:space="preserve">s in this city is pivotal, as they act as intermediaries between national policies and local implementation. This thesis investigates how politicians in Tehran leverage their positions to influence governance structures, address public grievances, and foster development while balancing the demands of a complex political environment.</w:t>
      </w:r>
    </w:p>
    <w:bookmarkEnd w:id="20"/>
    <w:bookmarkStart w:id="21" w:name="political-landscape-of-iran-tehran"/>
    <w:p>
      <w:pPr>
        <w:pStyle w:val="Heading2"/>
      </w:pPr>
      <w:r>
        <w:t xml:space="preserve">Political Landscape of Iran Tehran</w:t>
      </w:r>
    </w:p>
    <w:p>
      <w:pPr>
        <w:pStyle w:val="FirstParagraph"/>
      </w:pPr>
      <w:r>
        <w:rPr>
          <w:iCs/>
          <w:i/>
        </w:rPr>
        <w:t xml:space="preserve">Iran Tehran</w:t>
      </w:r>
      <w:r>
        <w:t xml:space="preserve"> </w:t>
      </w:r>
      <w:r>
        <w:t xml:space="preserve">has long been a focal point for political activity in the country. Historically, it has served as the epicenter of power struggles between reformist and conservative factions, as well as pragmatic actors seeking to modernize Iran's governance. Politicians in Tehran must navigate a web of institutional constraints, including the dominance of religious authorities under the Islamic Republic framework and the competing interests of regional powers.</w:t>
      </w:r>
    </w:p>
    <w:p>
      <w:pPr>
        <w:pStyle w:val="BodyText"/>
      </w:pPr>
      <w:r>
        <w:t xml:space="preserve">The political ecosystem in Tehran is shaped by three key dimensions:</w:t>
      </w:r>
      <w:r>
        <w:t xml:space="preserve"> </w:t>
      </w:r>
      <w:r>
        <w:rPr>
          <w:bCs/>
          <w:b/>
        </w:rPr>
        <w:t xml:space="preserve">1</w:t>
      </w:r>
      <w:r>
        <w:t xml:space="preserve">) The Supreme Leader’s authority over national policy,</w:t>
      </w:r>
      <w:r>
        <w:t xml:space="preserve"> </w:t>
      </w:r>
      <w:r>
        <w:rPr>
          <w:bCs/>
          <w:b/>
        </w:rPr>
        <w:t xml:space="preserve">2</w:t>
      </w:r>
      <w:r>
        <w:t xml:space="preserve">) The Majles’s role in legislative processes, and</w:t>
      </w:r>
      <w:r>
        <w:t xml:space="preserve"> </w:t>
      </w:r>
      <w:r>
        <w:rPr>
          <w:bCs/>
          <w:b/>
        </w:rPr>
        <w:t xml:space="preserve">3</w:t>
      </w:r>
      <w:r>
        <w:t xml:space="preserve">) Local governance structures that address urban challenges such as infrastructure, social welfare, and economic planning. Politicians in Tehran must align their strategies with these layers of authority while addressing the needs of a diverse population.</w:t>
      </w:r>
    </w:p>
    <w:bookmarkEnd w:id="21"/>
    <w:bookmarkStart w:id="22" w:name="methodology"/>
    <w:p>
      <w:pPr>
        <w:pStyle w:val="Heading2"/>
      </w:pPr>
      <w:r>
        <w:t xml:space="preserve">Methodology</w:t>
      </w:r>
    </w:p>
    <w:p>
      <w:pPr>
        <w:pStyle w:val="FirstParagraph"/>
      </w:pPr>
      <w:r>
        <w:t xml:space="preserve">This thesis employs a qualitative approach, analyzing primary sources such as speeches by prominent</w:t>
      </w:r>
      <w:r>
        <w:t xml:space="preserve"> </w:t>
      </w:r>
      <w:r>
        <w:rPr>
          <w:bCs/>
          <w:b/>
        </w:rPr>
        <w:t xml:space="preserve">Politician</w:t>
      </w:r>
      <w:r>
        <w:t xml:space="preserve">s in Tehran, parliamentary records, and policy documents. Secondary sources include academic literature on Iranian politics and reports from international organizations. Case studies of key political figures and events in Tehran provide insights into how politicians negotiate power dynamics within the Islamic Republic.</w:t>
      </w:r>
    </w:p>
    <w:bookmarkEnd w:id="22"/>
    <w:bookmarkStart w:id="23" w:name="X09c7433b1f453d49a3bbaaf80c7486b206f667a"/>
    <w:p>
      <w:pPr>
        <w:pStyle w:val="Heading2"/>
      </w:pPr>
      <w:r>
        <w:t xml:space="preserve">Cases Study: Prominent Politicians in Iran Tehran</w:t>
      </w:r>
    </w:p>
    <w:p>
      <w:pPr>
        <w:pStyle w:val="FirstParagraph"/>
      </w:pPr>
      <w:r>
        <w:t xml:space="preserve">The analysis focuses on three case studies to illustrate the role of politicians in</w:t>
      </w:r>
      <w:r>
        <w:t xml:space="preserve"> </w:t>
      </w:r>
      <w:r>
        <w:rPr>
          <w:iCs/>
          <w:i/>
        </w:rPr>
        <w:t xml:space="preserve">Iran Tehran</w:t>
      </w:r>
      <w:r>
        <w:t xml:space="preserve">:</w:t>
      </w:r>
    </w:p>
    <w:p>
      <w:pPr>
        <w:numPr>
          <w:ilvl w:val="0"/>
          <w:numId w:val="1001"/>
        </w:numPr>
        <w:pStyle w:val="Compact"/>
      </w:pPr>
      <w:r>
        <w:t xml:space="preserve">Mohammad Bagher Ghalibaf**: As the mayor of Tehran and a former speaker of the Majles, Ghalibaf exemplifies a politician who bridges local governance and national politics. His policies on urban development and anti-corruption reflect efforts to balance public demands with state priorities.</w:t>
      </w:r>
    </w:p>
    <w:p>
      <w:pPr>
        <w:numPr>
          <w:ilvl w:val="0"/>
          <w:numId w:val="1001"/>
        </w:numPr>
        <w:pStyle w:val="Compact"/>
      </w:pPr>
      <w:r>
        <w:t xml:space="preserve">Mohsen Rezaei**: A former Revolutionary Guards commander, Rezaei’s political career highlights the influence of military factions in Tehran’s power structures. His involvement in parliamentary elections underscores the role of armed forces in shaping electoral outcomes.</w:t>
      </w:r>
    </w:p>
    <w:p>
      <w:pPr>
        <w:numPr>
          <w:ilvl w:val="0"/>
          <w:numId w:val="1001"/>
        </w:numPr>
        <w:pStyle w:val="Compact"/>
      </w:pPr>
      <w:r>
        <w:t xml:space="preserve">Masoumeh Ebtekar**: As a reformist politician and vice president for women’s affairs, Ebtekar represents efforts to modernize Iran’s political discourse while navigating conservative resistance within Tehran’s elite circles.</w:t>
      </w:r>
    </w:p>
    <w:bookmarkEnd w:id="23"/>
    <w:bookmarkStart w:id="24" w:name="X1b4b9765270ee661d77f89c6a4aa9b301bed29c"/>
    <w:p>
      <w:pPr>
        <w:pStyle w:val="Heading2"/>
      </w:pPr>
      <w:r>
        <w:t xml:space="preserve">Challenges Faced by Politicians in Iran Tehran</w:t>
      </w:r>
    </w:p>
    <w:p>
      <w:pPr>
        <w:pStyle w:val="FirstParagraph"/>
      </w:pPr>
      <w:r>
        <w:rPr>
          <w:bCs/>
          <w:b/>
        </w:rPr>
        <w:t xml:space="preserve">Politician</w:t>
      </w:r>
      <w:r>
        <w:t xml:space="preserve">s in</w:t>
      </w:r>
      <w:r>
        <w:t xml:space="preserve"> </w:t>
      </w:r>
      <w:r>
        <w:rPr>
          <w:iCs/>
          <w:i/>
        </w:rPr>
        <w:t xml:space="preserve">Iran Tehran</w:t>
      </w:r>
      <w:r>
        <w:t xml:space="preserve"> </w:t>
      </w:r>
      <w:r>
        <w:t xml:space="preserve">operate within a challenging environment marked by ideological polarization, economic sanctions, and social unrest. Key challenges include:</w:t>
      </w:r>
    </w:p>
    <w:p>
      <w:pPr>
        <w:numPr>
          <w:ilvl w:val="0"/>
          <w:numId w:val="1002"/>
        </w:numPr>
        <w:pStyle w:val="Compact"/>
      </w:pPr>
      <w:r>
        <w:t xml:space="preserve">Polarization**: The divide between reformists and conservatives often paralyzes legislative processes, limiting the effectiveness of policies.</w:t>
      </w:r>
    </w:p>
    <w:p>
      <w:pPr>
        <w:numPr>
          <w:ilvl w:val="0"/>
          <w:numId w:val="1002"/>
        </w:numPr>
        <w:pStyle w:val="Compact"/>
      </w:pPr>
      <w:r>
        <w:t xml:space="preserve">Economic Pressures**: Sanctions and mismanagement have led to inflation and unemployment, forcing politicians to address public discontent without compromising state interests.</w:t>
      </w:r>
    </w:p>
    <w:p>
      <w:pPr>
        <w:numPr>
          <w:ilvl w:val="0"/>
          <w:numId w:val="1002"/>
        </w:numPr>
        <w:pStyle w:val="Compact"/>
      </w:pPr>
      <w:r>
        <w:t xml:space="preserve">Social Unrest**: Protests in Tehran, such as those following the death of Mahsa Amini in 2022, demonstrate the fragility of political legitimacy and the need for responsive governance.</w:t>
      </w:r>
    </w:p>
    <w:bookmarkEnd w:id="24"/>
    <w:bookmarkStart w:id="25" w:name="X081b1f1eb96733fb5a2fc9c15a731e1b1632931"/>
    <w:p>
      <w:pPr>
        <w:pStyle w:val="Heading2"/>
      </w:pPr>
      <w:r>
        <w:t xml:space="preserve">Opportunities for Political Leadership in Iran Tehran</w:t>
      </w:r>
    </w:p>
    <w:p>
      <w:pPr>
        <w:pStyle w:val="FirstParagraph"/>
      </w:pPr>
      <w:r>
        <w:t xml:space="preserve">Despite challenges,</w:t>
      </w:r>
      <w:r>
        <w:t xml:space="preserve"> </w:t>
      </w:r>
      <w:r>
        <w:rPr>
          <w:bCs/>
          <w:b/>
        </w:rPr>
        <w:t xml:space="preserve">Iran Tehran</w:t>
      </w:r>
      <w:r>
        <w:t xml:space="preserve"> </w:t>
      </w:r>
      <w:r>
        <w:t xml:space="preserve">offers unique opportunities for politicians to drive change. These include:</w:t>
      </w:r>
    </w:p>
    <w:p>
      <w:pPr>
        <w:numPr>
          <w:ilvl w:val="0"/>
          <w:numId w:val="1003"/>
        </w:numPr>
        <w:pStyle w:val="Compact"/>
      </w:pPr>
      <w:r>
        <w:t xml:space="preserve">Digital Engagement**: Politicians can leverage social media to bypass traditional media and communicate directly with citizens.</w:t>
      </w:r>
    </w:p>
    <w:p>
      <w:pPr>
        <w:numPr>
          <w:ilvl w:val="0"/>
          <w:numId w:val="1003"/>
        </w:numPr>
        <w:pStyle w:val="Compact"/>
      </w:pPr>
      <w:r>
        <w:t xml:space="preserve">Civic Participation**: Grassroots movements in Tehran, such as environmental campaigns or youth-led initiatives, provide avenues for politicians to foster inclusive governance.</w:t>
      </w:r>
    </w:p>
    <w:p>
      <w:pPr>
        <w:numPr>
          <w:ilvl w:val="0"/>
          <w:numId w:val="1003"/>
        </w:numPr>
        <w:pStyle w:val="Compact"/>
      </w:pPr>
      <w:r>
        <w:t xml:space="preserve">Regional Diplomacy**: As a gateway to Central Asia and the Middle East, Tehran’s politicians can play a role in enhancing Iran’s soft power through cultural and economic ties.</w:t>
      </w:r>
    </w:p>
    <w:bookmarkEnd w:id="25"/>
    <w:bookmarkStart w:id="26" w:name="conclusion"/>
    <w:p>
      <w:pPr>
        <w:pStyle w:val="Heading2"/>
      </w:pPr>
      <w:r>
        <w:t xml:space="preserve">Conclusion</w:t>
      </w:r>
    </w:p>
    <w:p>
      <w:pPr>
        <w:pStyle w:val="FirstParagraph"/>
      </w:pPr>
      <w:r>
        <w:t xml:space="preserve">This thesis underscores the critical role of</w:t>
      </w:r>
      <w:r>
        <w:t xml:space="preserve"> </w:t>
      </w:r>
      <w:r>
        <w:rPr>
          <w:bCs/>
          <w:b/>
        </w:rPr>
        <w:t xml:space="preserve">Politician</w:t>
      </w:r>
      <w:r>
        <w:t xml:space="preserve">s in</w:t>
      </w:r>
      <w:r>
        <w:t xml:space="preserve"> </w:t>
      </w:r>
      <w:r>
        <w:rPr>
          <w:iCs/>
          <w:i/>
        </w:rPr>
        <w:t xml:space="preserve">Iran Tehran</w:t>
      </w:r>
      <w:r>
        <w:t xml:space="preserve">, where they serve as both agents of stability and catalysts for reform. In a city defined by its political significance, their ability to navigate institutional constraints, address public needs, and adapt to external pressures will shape Iran’s future. As the capital continues to evolve, the interplay between local governance and national politics in Tehran remains a vital area of study for understanding the complexities of modern</w:t>
      </w:r>
      <w:r>
        <w:t xml:space="preserve"> </w:t>
      </w:r>
      <w:r>
        <w:rPr>
          <w:bCs/>
          <w:b/>
        </w:rPr>
        <w:t xml:space="preserve">Iran</w:t>
      </w:r>
      <w:r>
        <w:t xml:space="preserve">.</w:t>
      </w:r>
    </w:p>
    <w:p>
      <w:pPr>
        <w:pStyle w:val="BodyText"/>
      </w:pPr>
      <w:r>
        <w:rPr>
          <w:iCs/>
          <w:i/>
        </w:rPr>
        <w:t xml:space="preserve">This Master Thesis is structured to provide a comprehensive analysis of</w:t>
      </w:r>
      <w:r>
        <w:rPr>
          <w:iCs/>
          <w:i/>
        </w:rPr>
        <w:t xml:space="preserve"> </w:t>
      </w:r>
      <w:r>
        <w:rPr>
          <w:bCs/>
          <w:b/>
          <w:iCs/>
          <w:i/>
        </w:rPr>
        <w:t xml:space="preserve">Politician</w:t>
      </w:r>
      <w:r>
        <w:rPr>
          <w:iCs/>
          <w:i/>
        </w:rPr>
        <w:t xml:space="preserve">s in</w:t>
      </w:r>
      <w:r>
        <w:rPr>
          <w:iCs/>
          <w:i/>
        </w:rPr>
        <w:t xml:space="preserve"> </w:t>
      </w:r>
      <w:r>
        <w:rPr>
          <w:iCs/>
          <w:i/>
          <w:iCs/>
          <w:i/>
        </w:rPr>
        <w:t xml:space="preserve">Iran Tehran</w:t>
      </w:r>
      <w:r>
        <w:rPr>
          <w:iCs/>
          <w:i/>
        </w:rPr>
        <w:t xml:space="preserve">, offering insights into their influence, challenges, and potential contributions to societal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2026-07-19T06:33:05Z</dcterms:created>
  <dcterms:modified xsi:type="dcterms:W3CDTF">2026-07-19T06:33:05Z</dcterms:modified>
</cp:coreProperties>
</file>

<file path=docProps/custom.xml><?xml version="1.0" encoding="utf-8"?>
<Properties xmlns="http://schemas.openxmlformats.org/officeDocument/2006/custom-properties" xmlns:vt="http://schemas.openxmlformats.org/officeDocument/2006/docPropsVTypes"/>
</file>