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56d76bc47001da8d5a0858e7c1a9dc16c82ae50"/>
    <w:p>
      <w:pPr>
        <w:pStyle w:val="Heading1"/>
      </w:pPr>
      <w:r>
        <w:t xml:space="preserve">Master Thesis: The Role of Politicians in Saudi Arabia Riyadh</w:t>
      </w:r>
    </w:p>
    <w:bookmarkStart w:id="20" w:name="abstract"/>
    <w:p>
      <w:pPr>
        <w:pStyle w:val="Heading2"/>
      </w:pPr>
      <w:r>
        <w:t xml:space="preserve">Abstract</w:t>
      </w:r>
    </w:p>
    <w:p>
      <w:pPr>
        <w:pStyle w:val="FirstParagraph"/>
      </w:pPr>
      <w:r>
        <w:t xml:space="preserve">This Master Thesis explores the evolving role of politicians within the political landscape of</w:t>
      </w:r>
      <w:r>
        <w:t xml:space="preserve"> </w:t>
      </w:r>
      <w:r>
        <w:rPr>
          <w:bCs/>
          <w:b/>
        </w:rPr>
        <w:t xml:space="preserve">Saudi Arabia Riyadh</w:t>
      </w:r>
      <w:r>
        <w:t xml:space="preserve">, emphasizing their contributions to governance, policy-making, and socio-economic transformation under Vision 2030. Focusing on Riyadh as a central hub of political decision-making, the study analyzes how politicians navigate traditional structures while adapting to modern reforms. It addresses challenges such as balancing tribal influences with centralized governance, fostering youth engagement, and addressing global expectations in a rapidly changing Middle East.</w:t>
      </w:r>
    </w:p>
    <w:bookmarkEnd w:id="20"/>
    <w:bookmarkStart w:id="21" w:name="introduction"/>
    <w:p>
      <w:pPr>
        <w:pStyle w:val="Heading2"/>
      </w:pPr>
      <w:r>
        <w:t xml:space="preserve">Introduction</w:t>
      </w:r>
    </w:p>
    <w:p>
      <w:pPr>
        <w:pStyle w:val="FirstParagraph"/>
      </w:pPr>
      <w:r>
        <w:rPr>
          <w:bCs/>
          <w:b/>
        </w:rPr>
        <w:t xml:space="preserve">Saudi Arabia Riyadh</w:t>
      </w:r>
      <w:r>
        <w:t xml:space="preserve">, the capital of the Kingdom of Saudi Arabia, serves as a political and administrative epicenter where</w:t>
      </w:r>
      <w:r>
        <w:t xml:space="preserve"> </w:t>
      </w:r>
      <w:r>
        <w:rPr>
          <w:bCs/>
          <w:b/>
        </w:rPr>
        <w:t xml:space="preserve">politicians</w:t>
      </w:r>
      <w:r>
        <w:t xml:space="preserve"> </w:t>
      </w:r>
      <w:r>
        <w:t xml:space="preserve">play a pivotal role in shaping national policies. The 2016 launch of Vision 2030 has intensified the need for dynamic leadership, requiring politicians to reorient governance frameworks toward economic diversification, technological innovation, and social development. This thesis examines how politicians in Riyadh reconcile traditional power dynamics with contemporary demands, ensuring Saudi Arabia’s stability amid global shifts.</w:t>
      </w:r>
    </w:p>
    <w:bookmarkEnd w:id="21"/>
    <w:bookmarkStart w:id="22" w:name="literature-review"/>
    <w:p>
      <w:pPr>
        <w:pStyle w:val="Heading2"/>
      </w:pPr>
      <w:r>
        <w:t xml:space="preserve">Literature Review</w:t>
      </w:r>
    </w:p>
    <w:p>
      <w:pPr>
        <w:pStyle w:val="FirstParagraph"/>
      </w:pPr>
      <w:r>
        <w:t xml:space="preserve">The political landscape of</w:t>
      </w:r>
      <w:r>
        <w:t xml:space="preserve"> </w:t>
      </w:r>
      <w:r>
        <w:rPr>
          <w:bCs/>
          <w:b/>
        </w:rPr>
        <w:t xml:space="preserve">Saudi Arabia Riyadh</w:t>
      </w:r>
      <w:r>
        <w:t xml:space="preserve"> </w:t>
      </w:r>
      <w:r>
        <w:t xml:space="preserve">has historically been characterized by a centralized monarchy, where the Al Saud family holds predominant influence. Scholars such as Ahmed Al-Rasheed highlight the interplay between tribal loyalties and modern bureaucratic systems in shaping policy outcomes (Al-Rasheed, 2018). Recent studies emphasize the transformative role of</w:t>
      </w:r>
      <w:r>
        <w:t xml:space="preserve"> </w:t>
      </w:r>
      <w:r>
        <w:rPr>
          <w:bCs/>
          <w:b/>
        </w:rPr>
        <w:t xml:space="preserve">politicians</w:t>
      </w:r>
      <w:r>
        <w:t xml:space="preserve"> </w:t>
      </w:r>
      <w:r>
        <w:t xml:space="preserve">in driving Vision 2030 initiatives, including investments in renewable energy (Neom Project), digital governance, and women’s empowerment. However, gaps remain in understanding how local politicians from Riyadh balance regional interests with national priorities.</w:t>
      </w:r>
    </w:p>
    <w:bookmarkEnd w:id="22"/>
    <w:bookmarkStart w:id="23" w:name="case-study-riyadh-as-a-political-hub"/>
    <w:p>
      <w:pPr>
        <w:pStyle w:val="Heading2"/>
      </w:pPr>
      <w:r>
        <w:t xml:space="preserve">Case Study: Riyadh as a Political Hub</w:t>
      </w:r>
    </w:p>
    <w:p>
      <w:pPr>
        <w:pStyle w:val="FirstParagraph"/>
      </w:pPr>
      <w:r>
        <w:t xml:space="preserve">Riyadh’s strategic position as the seat of government makes it a focal point for political activity. The Council of Ministers, King Abdullah bin Abdulaziz International Complex for Research and Moral Studies, and the Ministry of Foreign Affairs are headquartered here, underscoring its role in shaping national agendas.</w:t>
      </w:r>
      <w:r>
        <w:t xml:space="preserve"> </w:t>
      </w:r>
      <w:r>
        <w:rPr>
          <w:bCs/>
          <w:b/>
        </w:rPr>
        <w:t xml:space="preserve">Politicians</w:t>
      </w:r>
      <w:r>
        <w:t xml:space="preserve"> </w:t>
      </w:r>
      <w:r>
        <w:t xml:space="preserve">in Riyadh must navigate complex networks of tribal alliances, religious conservatism, and international diplomacy. For instance, Crown Prince Mohammed bin Salman’s reforms—such as the 2016 anti-corruption campaign and the Saudi Vision 2030—demonstrate how central politicians leverage their authority to enact sweeping changes while managing dissent.</w:t>
      </w:r>
    </w:p>
    <w:bookmarkEnd w:id="23"/>
    <w:bookmarkStart w:id="24" w:name="X45324a7fcfb276712d5cd3b1a6bc7ac47059029"/>
    <w:p>
      <w:pPr>
        <w:pStyle w:val="Heading2"/>
      </w:pPr>
      <w:r>
        <w:t xml:space="preserve">Challenges Faced by Politicians in Riyadh</w:t>
      </w:r>
    </w:p>
    <w:p>
      <w:pPr>
        <w:numPr>
          <w:ilvl w:val="0"/>
          <w:numId w:val="1001"/>
        </w:numPr>
        <w:pStyle w:val="Compact"/>
      </w:pPr>
      <w:r>
        <w:rPr>
          <w:bCs/>
          <w:b/>
        </w:rPr>
        <w:t xml:space="preserve">Tribal and Religious Dynamics:</w:t>
      </w:r>
      <w:r>
        <w:t xml:space="preserve"> </w:t>
      </w:r>
      <w:r>
        <w:t xml:space="preserve">Politicians must navigate the delicate balance between tribal factions and religious institutions, ensuring policies align with Islamic values while promoting modernization.</w:t>
      </w:r>
    </w:p>
    <w:p>
      <w:pPr>
        <w:numPr>
          <w:ilvl w:val="0"/>
          <w:numId w:val="1001"/>
        </w:numPr>
        <w:pStyle w:val="Compact"/>
      </w:pPr>
      <w:r>
        <w:rPr>
          <w:bCs/>
          <w:b/>
        </w:rPr>
        <w:t xml:space="preserve">Economic Diversification:</w:t>
      </w:r>
      <w:r>
        <w:t xml:space="preserve"> </w:t>
      </w:r>
      <w:r>
        <w:t xml:space="preserve">The shift from oil dependency to a knowledge-based economy requires politicians to attract foreign investment, develop infrastructure, and foster private sector innovation.</w:t>
      </w:r>
    </w:p>
    <w:p>
      <w:pPr>
        <w:numPr>
          <w:ilvl w:val="0"/>
          <w:numId w:val="1001"/>
        </w:numPr>
        <w:pStyle w:val="Compact"/>
      </w:pPr>
      <w:r>
        <w:rPr>
          <w:bCs/>
          <w:b/>
        </w:rPr>
        <w:t xml:space="preserve">Youth Engagement:</w:t>
      </w:r>
      <w:r>
        <w:t xml:space="preserve"> </w:t>
      </w:r>
      <w:r>
        <w:t xml:space="preserve">With over 60% of Saudi Arabia’s population under 30, politicians in Riyadh face pressure to address youth unemployment and create opportunities for education and entrepreneurship.</w:t>
      </w:r>
    </w:p>
    <w:bookmarkEnd w:id="24"/>
    <w:bookmarkStart w:id="25" w:name="opportunities-for-politicians-in-riyadh"/>
    <w:p>
      <w:pPr>
        <w:pStyle w:val="Heading2"/>
      </w:pPr>
      <w:r>
        <w:t xml:space="preserve">Opportunities for Politicians in Riyadh</w:t>
      </w:r>
    </w:p>
    <w:p>
      <w:pPr>
        <w:numPr>
          <w:ilvl w:val="0"/>
          <w:numId w:val="1002"/>
        </w:numPr>
        <w:pStyle w:val="Compact"/>
      </w:pPr>
      <w:r>
        <w:rPr>
          <w:bCs/>
          <w:b/>
        </w:rPr>
        <w:t xml:space="preserve">Vision 2030 Initiatives:</w:t>
      </w:r>
      <w:r>
        <w:t xml:space="preserve"> </w:t>
      </w:r>
      <w:r>
        <w:t xml:space="preserve">Politicians have access to global partnerships, such as the Red Sea Project and NEOM, which offer platforms for innovation and international collaboration.</w:t>
      </w:r>
    </w:p>
    <w:p>
      <w:pPr>
        <w:numPr>
          <w:ilvl w:val="0"/>
          <w:numId w:val="1002"/>
        </w:numPr>
        <w:pStyle w:val="Compact"/>
      </w:pPr>
      <w:r>
        <w:rPr>
          <w:bCs/>
          <w:b/>
        </w:rPr>
        <w:t xml:space="preserve">Digital Governance:</w:t>
      </w:r>
      <w:r>
        <w:t xml:space="preserve"> </w:t>
      </w:r>
      <w:r>
        <w:t xml:space="preserve">The adoption of e-government services (e.g., Saudi Digital Academy) allows politicians to enhance transparency and public engagement.</w:t>
      </w:r>
    </w:p>
    <w:p>
      <w:pPr>
        <w:numPr>
          <w:ilvl w:val="0"/>
          <w:numId w:val="1002"/>
        </w:numPr>
        <w:pStyle w:val="Compact"/>
      </w:pPr>
      <w:r>
        <w:rPr>
          <w:bCs/>
          <w:b/>
        </w:rPr>
        <w:t xml:space="preserve">Cultural Diplomacy:</w:t>
      </w:r>
      <w:r>
        <w:t xml:space="preserve"> </w:t>
      </w:r>
      <w:r>
        <w:t xml:space="preserve">Riyadh’s hosting of events like the Future Investment Initiative (FII) enables politicians to project Saudi Arabia as a progressive, forward-thinking nation.</w:t>
      </w:r>
    </w:p>
    <w:bookmarkEnd w:id="25"/>
    <w:bookmarkStart w:id="26" w:name="policy-implications-and-recommendations"/>
    <w:p>
      <w:pPr>
        <w:pStyle w:val="Heading2"/>
      </w:pPr>
      <w:r>
        <w:t xml:space="preserve">Policy Implications and Recommendations</w:t>
      </w:r>
    </w:p>
    <w:p>
      <w:pPr>
        <w:pStyle w:val="FirstParagraph"/>
      </w:pPr>
      <w:r>
        <w:t xml:space="preserve">The role of</w:t>
      </w:r>
      <w:r>
        <w:t xml:space="preserve"> </w:t>
      </w:r>
      <w:r>
        <w:rPr>
          <w:bCs/>
          <w:b/>
        </w:rPr>
        <w:t xml:space="preserve">politicians</w:t>
      </w:r>
      <w:r>
        <w:t xml:space="preserve"> </w:t>
      </w:r>
      <w:r>
        <w:t xml:space="preserve">in</w:t>
      </w:r>
      <w:r>
        <w:t xml:space="preserve"> </w:t>
      </w:r>
      <w:r>
        <w:rPr>
          <w:bCs/>
          <w:b/>
        </w:rPr>
        <w:t xml:space="preserve">Saudi Arabia Riyadh</w:t>
      </w:r>
      <w:r>
        <w:t xml:space="preserve"> </w:t>
      </w:r>
      <w:r>
        <w:t xml:space="preserve">demands a dual focus: upholding traditional values while embracing reform. Key recommendations include:</w:t>
      </w:r>
    </w:p>
    <w:p>
      <w:pPr>
        <w:numPr>
          <w:ilvl w:val="0"/>
          <w:numId w:val="1003"/>
        </w:numPr>
        <w:pStyle w:val="Compact"/>
      </w:pPr>
      <w:r>
        <w:rPr>
          <w:iCs/>
          <w:i/>
        </w:rPr>
        <w:t xml:space="preserve">Educational Reforms:</w:t>
      </w:r>
      <w:r>
        <w:t xml:space="preserve"> </w:t>
      </w:r>
      <w:r>
        <w:t xml:space="preserve">Strengthening STEM education and vocational training to align with Vision 2030 goals.</w:t>
      </w:r>
    </w:p>
    <w:p>
      <w:pPr>
        <w:numPr>
          <w:ilvl w:val="0"/>
          <w:numId w:val="1003"/>
        </w:numPr>
        <w:pStyle w:val="Compact"/>
      </w:pPr>
      <w:r>
        <w:rPr>
          <w:iCs/>
          <w:i/>
        </w:rPr>
        <w:t xml:space="preserve">Inclusive Governance:</w:t>
      </w:r>
      <w:r>
        <w:t xml:space="preserve"> </w:t>
      </w:r>
      <w:r>
        <w:t xml:space="preserve">Encouraging representation of women and youth in political decision-making processes.</w:t>
      </w:r>
    </w:p>
    <w:p>
      <w:pPr>
        <w:numPr>
          <w:ilvl w:val="0"/>
          <w:numId w:val="1003"/>
        </w:numPr>
        <w:pStyle w:val="Compact"/>
      </w:pPr>
      <w:r>
        <w:rPr>
          <w:iCs/>
          <w:i/>
        </w:rPr>
        <w:t xml:space="preserve">Bilateral Agreements:</w:t>
      </w:r>
      <w:r>
        <w:t xml:space="preserve"> </w:t>
      </w:r>
      <w:r>
        <w:t xml:space="preserve">Strengthening ties with Gulf Cooperation Council (GCC) nations and Western allies to enhance economic and security cooperation.</w:t>
      </w:r>
    </w:p>
    <w:bookmarkEnd w:id="26"/>
    <w:bookmarkStart w:id="27"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politicians</w:t>
      </w:r>
      <w:r>
        <w:t xml:space="preserve"> </w:t>
      </w:r>
      <w:r>
        <w:t xml:space="preserve">in steering</w:t>
      </w:r>
      <w:r>
        <w:t xml:space="preserve"> </w:t>
      </w:r>
      <w:r>
        <w:rPr>
          <w:bCs/>
          <w:b/>
        </w:rPr>
        <w:t xml:space="preserve">Saudi Arabia Riyadh</w:t>
      </w:r>
      <w:r>
        <w:t xml:space="preserve"> </w:t>
      </w:r>
      <w:r>
        <w:t xml:space="preserve">through its transformational journey. As the Kingdom embraces modernity while preserving its cultural identity, politicians must act as mediators between tradition and progress. Their ability to harmonize these forces will determine Saudi Arabia’s success in achieving Vision 2030 and securing its place as a global leader in the 21st century.</w:t>
      </w:r>
    </w:p>
    <w:bookmarkEnd w:id="27"/>
    <w:bookmarkStart w:id="28" w:name="references"/>
    <w:p>
      <w:pPr>
        <w:pStyle w:val="Heading2"/>
      </w:pPr>
      <w:r>
        <w:t xml:space="preserve">References</w:t>
      </w:r>
    </w:p>
    <w:p>
      <w:pPr>
        <w:pStyle w:val="FirstParagraph"/>
      </w:pPr>
      <w:r>
        <w:rPr>
          <w:bCs/>
          <w:b/>
        </w:rPr>
        <w:t xml:space="preserve">Al-Rasheed, A. (2018).</w:t>
      </w:r>
      <w:r>
        <w:t xml:space="preserve"> </w:t>
      </w:r>
      <w:r>
        <w:rPr>
          <w:iCs/>
          <w:i/>
        </w:rPr>
        <w:t xml:space="preserve">Riyadh: The Political Heart of Saudi Arabia.</w:t>
      </w:r>
      <w:r>
        <w:t xml:space="preserve"> </w:t>
      </w:r>
      <w:r>
        <w:t xml:space="preserve">Riyadh Press.</w:t>
      </w:r>
      <w:r>
        <w:br/>
      </w:r>
      <w:r>
        <w:rPr>
          <w:bCs/>
          <w:b/>
        </w:rPr>
        <w:t xml:space="preserve">Vision 2030 Reports.</w:t>
      </w:r>
      <w:r>
        <w:t xml:space="preserve"> </w:t>
      </w:r>
      <w:r>
        <w:t xml:space="preserve">Ministry of Economy and Planning, Kingdom of Saudi Arabia (2016–present).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Saudi Arabia Riyadh</dc:title>
  <dc:creator/>
  <dc:language>en</dc:language>
  <cp:keywords/>
  <dcterms:created xsi:type="dcterms:W3CDTF">2026-07-21T14:02:02Z</dcterms:created>
  <dcterms:modified xsi:type="dcterms:W3CDTF">2026-07-21T14:02:02Z</dcterms:modified>
</cp:coreProperties>
</file>

<file path=docProps/custom.xml><?xml version="1.0" encoding="utf-8"?>
<Properties xmlns="http://schemas.openxmlformats.org/officeDocument/2006/custom-properties" xmlns:vt="http://schemas.openxmlformats.org/officeDocument/2006/docPropsVTypes"/>
</file>