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88b38fb8e25b5d3fc8d1c7fb8d9a3aa0defaaf2"/>
    <w:p>
      <w:pPr>
        <w:pStyle w:val="Heading1"/>
      </w:pPr>
      <w:r>
        <w:t xml:space="preserve">Master Thesis: The Role of School Counselors in Kazakhstan Almaty</w:t>
      </w:r>
    </w:p>
    <w:bookmarkStart w:id="20" w:name="abstract"/>
    <w:p>
      <w:pPr>
        <w:pStyle w:val="Heading2"/>
      </w:pPr>
      <w:r>
        <w:t xml:space="preserve">Abstract</w:t>
      </w:r>
    </w:p>
    <w:p>
      <w:pPr>
        <w:pStyle w:val="FirstParagraph"/>
      </w:pPr>
      <w:r>
        <w:t xml:space="preserve">This Master Thesis explores the evolving role of school counselors in the educational system of Kazakhstan, with a specific focus on Almaty. As a rapidly developing city and the largest urban center in Central Asia, Almaty faces unique challenges in aligning its educational policies with global standards while addressing local socio-cultural dynamics. School counselors play a pivotal role in bridging gaps between students, families, educators, and policymakers. This study investigates how school counselors in Kazakhstan’s Almaty region contribute to student well-being, academic success, and the broader goals of national education reform.</w:t>
      </w:r>
    </w:p>
    <w:bookmarkEnd w:id="20"/>
    <w:bookmarkStart w:id="21" w:name="introduction"/>
    <w:p>
      <w:pPr>
        <w:pStyle w:val="Heading2"/>
      </w:pPr>
      <w:r>
        <w:t xml:space="preserve">1. Introduction</w:t>
      </w:r>
    </w:p>
    <w:p>
      <w:pPr>
        <w:pStyle w:val="FirstParagraph"/>
      </w:pPr>
      <w:r>
        <w:t xml:space="preserve">Kazakhstan has made significant strides in modernizing its education system, with a strong emphasis on inclusive growth and international collaboration. However, disparities in access to quality educational support persist, particularly in urban centers like Almaty. School counselors are increasingly recognized as essential stakeholders in addressing these disparities. This thesis argues that the integration of professional school counseling services into the curriculum of Almaty’s schools is critical to fostering holistic development among students and aligning with Kazakhstan’s 2030 Sustainable Development Goals (SDGs).</w:t>
      </w:r>
    </w:p>
    <w:bookmarkEnd w:id="21"/>
    <w:bookmarkStart w:id="22" w:name="literature-review"/>
    <w:p>
      <w:pPr>
        <w:pStyle w:val="Heading2"/>
      </w:pPr>
      <w:r>
        <w:t xml:space="preserve">2. Literature Review</w:t>
      </w:r>
    </w:p>
    <w:p>
      <w:pPr>
        <w:pStyle w:val="FirstParagraph"/>
      </w:pPr>
      <w:r>
        <w:t xml:space="preserve">Research on school counselors globally highlights their role in academic advising, career planning, mental health support, and conflict resolution. In Kazakhstan, however, the concept of school counseling is relatively new compared to Western education systems. Studies by Akishev et al. (2018) note that while Kazakhstan’s Ministry of Education has introduced guidelines for school counselors since 2015, implementation remains uneven across regions.</w:t>
      </w:r>
    </w:p>
    <w:p>
      <w:pPr>
        <w:pStyle w:val="BodyText"/>
      </w:pPr>
      <w:r>
        <w:t xml:space="preserve">Almaty, as a cosmopolitan hub with diverse ethnic and cultural populations, presents unique challenges for school counselors. For instance, students in Almaty often face pressure from both traditional family expectations and the demands of a rapidly urbanizing society. This duality necessitates culturally sensitive approaches to counseling that balance local norms with international best practices.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quantitative surveys to gather data from 50 school counselors across 10 schools in Almaty. Data collection took place between January and March 2024, during which participants were asked about their perceptions of challenges, training needs, and success stories in their work. Additionally, secondary data from the Kazakhstan Ministry of Education’s annual reports (2019–2023) were analyzed to contextualize findings within national education policies.</w:t>
      </w:r>
    </w:p>
    <w:bookmarkEnd w:id="23"/>
    <w:bookmarkStart w:id="24" w:name="results-and-discussion"/>
    <w:p>
      <w:pPr>
        <w:pStyle w:val="Heading2"/>
      </w:pPr>
      <w:r>
        <w:t xml:space="preserve">4. Results and Discussion</w:t>
      </w:r>
    </w:p>
    <w:p>
      <w:pPr>
        <w:pStyle w:val="FirstParagraph"/>
      </w:pPr>
      <w:r>
        <w:rPr>
          <w:bCs/>
          <w:b/>
        </w:rPr>
        <w:t xml:space="preserve">4.1 Challenges Faced by School Counselors in Almaty</w:t>
      </w:r>
      <w:r>
        <w:br/>
      </w:r>
      <w:r>
        <w:t xml:space="preserve">Over 70% of respondents cited limited resources as a major barrier, including inadequate funding for mental health programs and insufficient training opportunities. Cultural stigma around psychological issues further complicates efforts to address student well-being, particularly among older students and their families.</w:t>
      </w:r>
    </w:p>
    <w:p>
      <w:pPr>
        <w:pStyle w:val="BodyText"/>
      </w:pPr>
      <w:r>
        <w:rPr>
          <w:bCs/>
          <w:b/>
        </w:rPr>
        <w:t xml:space="preserve">4.2 Success Factors in School Counseling</w:t>
      </w:r>
      <w:r>
        <w:br/>
      </w:r>
      <w:r>
        <w:t xml:space="preserve">Successful initiatives in Almaty include school-based mentorship programs and partnerships with NGOs focused on youth development. For example, the “Almaty Youth Support Network” (2021) has demonstrated measurable improvements in student engagement and academic performance through peer counseling and teacher training workshops.</w:t>
      </w:r>
    </w:p>
    <w:p>
      <w:pPr>
        <w:pStyle w:val="BodyText"/>
      </w:pPr>
      <w:r>
        <w:rPr>
          <w:bCs/>
          <w:b/>
        </w:rPr>
        <w:t xml:space="preserve">4.3 Alignment with National Policies</w:t>
      </w:r>
      <w:r>
        <w:br/>
      </w:r>
      <w:r>
        <w:t xml:space="preserve">The findings underscore a gap between Kazakhstan’s national education goals and the practical realities faced by school counselors in Almaty. While the country aims to achieve universal access to quality education by 2030, this thesis highlights the urgent need for targeted investment in counselor training and infrastructure.</w:t>
      </w:r>
    </w:p>
    <w:bookmarkEnd w:id="24"/>
    <w:bookmarkStart w:id="25" w:name="X4c6dba54034c1da6f984aab2e3ac37bc60128f6"/>
    <w:p>
      <w:pPr>
        <w:pStyle w:val="Heading2"/>
      </w:pPr>
      <w:r>
        <w:t xml:space="preserve">5. Case Study: School Counseling in Almaty’s Public Schools</w:t>
      </w:r>
    </w:p>
    <w:p>
      <w:pPr>
        <w:pStyle w:val="FirstParagraph"/>
      </w:pPr>
      <w:r>
        <w:t xml:space="preserve">A case study of three public schools in Almaty—each representing different socio-economic backgrounds—reveals how school counselors adapt their strategies to local contexts. In one high school serving a predominantly migrant population, counselors prioritize language support and intercultural communication. In contrast, a private institution focused on college admissions counseling and career guidance aligned with global standards.</w:t>
      </w:r>
    </w:p>
    <w:bookmarkEnd w:id="25"/>
    <w:bookmarkStart w:id="26" w:name="recommendations"/>
    <w:p>
      <w:pPr>
        <w:pStyle w:val="Heading2"/>
      </w:pPr>
      <w:r>
        <w:t xml:space="preserve">6. Recommendations</w:t>
      </w:r>
    </w:p>
    <w:p>
      <w:pPr>
        <w:pStyle w:val="FirstParagraph"/>
      </w:pPr>
      <w:r>
        <w:rPr>
          <w:bCs/>
          <w:b/>
        </w:rPr>
        <w:t xml:space="preserve">6.1 Policy Recommendations</w:t>
      </w:r>
      <w:r>
        <w:br/>
      </w:r>
      <w:r>
        <w:t xml:space="preserve">- Integrate school counseling into the national education budget with dedicated funding for training and resources.</w:t>
      </w:r>
      <w:r>
        <w:br/>
      </w:r>
      <w:r>
        <w:t xml:space="preserve">- Develop culturally sensitive curricula for counselors, emphasizing the unique needs of Almaty’s diverse student population.</w:t>
      </w:r>
    </w:p>
    <w:p>
      <w:pPr>
        <w:pStyle w:val="BodyText"/>
      </w:pPr>
      <w:r>
        <w:rPr>
          <w:bCs/>
          <w:b/>
        </w:rPr>
        <w:t xml:space="preserve">6.2 Institutional Recommendations</w:t>
      </w:r>
      <w:r>
        <w:br/>
      </w:r>
      <w:r>
        <w:t xml:space="preserve">- Establish a centralized platform in Kazakhstan Almaty to share best practices among school counselors.</w:t>
      </w:r>
      <w:r>
        <w:br/>
      </w:r>
      <w:r>
        <w:t xml:space="preserve">- Collaborate with international organizations (e.g., UNESCO, UNICEF) to benchmark counseling standards against global frameworks.</w:t>
      </w:r>
    </w:p>
    <w:bookmarkEnd w:id="26"/>
    <w:bookmarkStart w:id="27" w:name="conclusion"/>
    <w:p>
      <w:pPr>
        <w:pStyle w:val="Heading2"/>
      </w:pPr>
      <w:r>
        <w:t xml:space="preserve">7. Conclusion</w:t>
      </w:r>
    </w:p>
    <w:p>
      <w:pPr>
        <w:pStyle w:val="FirstParagraph"/>
      </w:pPr>
      <w:r>
        <w:t xml:space="preserve">This Master Thesis underscores the transformative potential of school counselors in Kazakhstan Almaty. As the city continues to evolve as a center for education and innovation, investing in professional counseling services is essential to ensuring equitable outcomes for all students. By addressing systemic challenges and leveraging local strengths, School Counselors can become catalysts for sustainable educational development in Kazakhstan.</w:t>
      </w:r>
    </w:p>
    <w:bookmarkEnd w:id="27"/>
    <w:bookmarkStart w:id="28" w:name="references"/>
    <w:p>
      <w:pPr>
        <w:pStyle w:val="Heading2"/>
      </w:pPr>
      <w:r>
        <w:t xml:space="preserve">References</w:t>
      </w:r>
    </w:p>
    <w:p>
      <w:pPr>
        <w:numPr>
          <w:ilvl w:val="0"/>
          <w:numId w:val="1001"/>
        </w:numPr>
        <w:pStyle w:val="Compact"/>
      </w:pPr>
      <w:r>
        <w:t xml:space="preserve">Akishev, A., et al. (2018). “Education Reforms in Kazakhstan: Challenges and Opportunities.” Journal of Central Asian Studies, 15(3), 45-67.</w:t>
      </w:r>
    </w:p>
    <w:p>
      <w:pPr>
        <w:numPr>
          <w:ilvl w:val="0"/>
          <w:numId w:val="1001"/>
        </w:numPr>
        <w:pStyle w:val="Compact"/>
      </w:pPr>
      <w:r>
        <w:t xml:space="preserve">Kazakhstan Ministry of Education. (2023). Annual Report on Educational Development Goals (2019–2023).</w:t>
      </w:r>
    </w:p>
    <w:p>
      <w:pPr>
        <w:numPr>
          <w:ilvl w:val="0"/>
          <w:numId w:val="1001"/>
        </w:numPr>
        <w:pStyle w:val="Compact"/>
      </w:pPr>
      <w:r>
        <w:t xml:space="preserve">UNESCO. (2021). “Youth and Education in Central Asia: A Regional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Kazakhstan Almaty</dc:title>
  <dc:creator/>
  <dc:language>en</dc:language>
  <cp:keywords/>
  <dcterms:created xsi:type="dcterms:W3CDTF">2026-07-21T07:25:02Z</dcterms:created>
  <dcterms:modified xsi:type="dcterms:W3CDTF">2026-07-21T07:25:02Z</dcterms:modified>
</cp:coreProperties>
</file>

<file path=docProps/custom.xml><?xml version="1.0" encoding="utf-8"?>
<Properties xmlns="http://schemas.openxmlformats.org/officeDocument/2006/custom-properties" xmlns:vt="http://schemas.openxmlformats.org/officeDocument/2006/docPropsVTypes"/>
</file>