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22c5e9c074e6c7699bdac65c28708fd5ff6abb3"/>
    <w:p>
      <w:pPr>
        <w:pStyle w:val="Heading1"/>
      </w:pPr>
      <w:r>
        <w:t xml:space="preserve">Master Thesis: The Role and Challenges of Social Workers in Iran, Tehran</w:t>
      </w:r>
    </w:p>
    <w:bookmarkStart w:id="20" w:name="abstract"/>
    <w:p>
      <w:pPr>
        <w:pStyle w:val="Heading2"/>
      </w:pPr>
      <w:r>
        <w:t xml:space="preserve">Abstract</w:t>
      </w:r>
    </w:p>
    <w:p>
      <w:pPr>
        <w:pStyle w:val="FirstParagraph"/>
      </w:pPr>
      <w:r>
        <w:t xml:space="preserve">This Master Thesis explores the evolving role of social workers within the socio-political landscape of</w:t>
      </w:r>
      <w:r>
        <w:t xml:space="preserve"> </w:t>
      </w:r>
      <w:r>
        <w:rPr>
          <w:bCs/>
          <w:b/>
        </w:rPr>
        <w:t xml:space="preserve">Tehran, Iran</w:t>
      </w:r>
      <w:r>
        <w:t xml:space="preserve">. Focusing on the unique challenges and contributions of</w:t>
      </w:r>
      <w:r>
        <w:t xml:space="preserve"> </w:t>
      </w:r>
      <w:r>
        <w:rPr>
          <w:bCs/>
          <w:b/>
        </w:rPr>
        <w:t xml:space="preserve">Social Workers</w:t>
      </w:r>
      <w:r>
        <w:t xml:space="preserve"> </w:t>
      </w:r>
      <w:r>
        <w:t xml:space="preserve">in this context, the study highlights their critical function in addressing poverty, mental health crises, and community development. By analyzing case studies from Tehran’s urban centers and marginalized neighborhoods, this thesis argues for the urgent need to integrate</w:t>
      </w:r>
      <w:r>
        <w:t xml:space="preserve"> </w:t>
      </w:r>
      <w:r>
        <w:rPr>
          <w:bCs/>
          <w:b/>
        </w:rPr>
        <w:t xml:space="preserve">Social Workers</w:t>
      </w:r>
      <w:r>
        <w:t xml:space="preserve"> </w:t>
      </w:r>
      <w:r>
        <w:t xml:space="preserve">into Iran’s public policy framework to enhance social equity and resilience. The findings underscore the importance of cultural competence, political navigation, and interdisciplinary collaboration in the practice of</w:t>
      </w:r>
      <w:r>
        <w:t xml:space="preserve"> </w:t>
      </w:r>
      <w:r>
        <w:rPr>
          <w:bCs/>
          <w:b/>
        </w:rPr>
        <w:t xml:space="preserve">Social Work</w:t>
      </w:r>
      <w:r>
        <w:t xml:space="preserve"> </w:t>
      </w:r>
      <w:r>
        <w:t xml:space="preserve">in Tehran.</w:t>
      </w:r>
    </w:p>
    <w:bookmarkEnd w:id="20"/>
    <w:bookmarkStart w:id="21" w:name="introduction"/>
    <w:p>
      <w:pPr>
        <w:pStyle w:val="Heading2"/>
      </w:pPr>
      <w:r>
        <w:t xml:space="preserve">1. Introduction</w:t>
      </w:r>
    </w:p>
    <w:p>
      <w:pPr>
        <w:pStyle w:val="FirstParagraph"/>
      </w:pPr>
      <w:r>
        <w:t xml:space="preserve">The role of</w:t>
      </w:r>
      <w:r>
        <w:t xml:space="preserve"> </w:t>
      </w:r>
      <w:r>
        <w:rPr>
          <w:bCs/>
          <w:b/>
        </w:rPr>
        <w:t xml:space="preserve">Social Workers</w:t>
      </w:r>
      <w:r>
        <w:t xml:space="preserve"> </w:t>
      </w:r>
      <w:r>
        <w:t xml:space="preserve">has gained increasing recognition globally as a cornerstone of social welfare systems. In</w:t>
      </w:r>
      <w:r>
        <w:t xml:space="preserve"> </w:t>
      </w:r>
      <w:r>
        <w:rPr>
          <w:bCs/>
          <w:b/>
        </w:rPr>
        <w:t xml:space="preserve">Tehran, Iran</w:t>
      </w:r>
      <w:r>
        <w:t xml:space="preserve">, where rapid urbanization and socio-economic disparities intersect, the work of</w:t>
      </w:r>
      <w:r>
        <w:t xml:space="preserve"> </w:t>
      </w:r>
      <w:r>
        <w:rPr>
          <w:bCs/>
          <w:b/>
        </w:rPr>
        <w:t xml:space="preserve">Social Workers</w:t>
      </w:r>
      <w:r>
        <w:t xml:space="preserve"> </w:t>
      </w:r>
      <w:r>
        <w:t xml:space="preserve">is both vital and complex. This thesis investigates how</w:t>
      </w:r>
      <w:r>
        <w:t xml:space="preserve"> </w:t>
      </w:r>
      <w:r>
        <w:rPr>
          <w:bCs/>
          <w:b/>
        </w:rPr>
        <w:t xml:space="preserve">Social Workers</w:t>
      </w:r>
      <w:r>
        <w:t xml:space="preserve"> </w:t>
      </w:r>
      <w:r>
        <w:t xml:space="preserve">in Tehran navigate the dual pressures of cultural norms, governmental policies, and grassroots demands to support vulnerable populations such as single mothers, homeless individuals, and victims of domestic violence. The study aims to answer the following questions: How do</w:t>
      </w:r>
      <w:r>
        <w:t xml:space="preserve"> </w:t>
      </w:r>
      <w:r>
        <w:rPr>
          <w:bCs/>
          <w:b/>
        </w:rPr>
        <w:t xml:space="preserve">Social Workers</w:t>
      </w:r>
      <w:r>
        <w:t xml:space="preserve"> </w:t>
      </w:r>
      <w:r>
        <w:t xml:space="preserve">in Tehran adapt their practices to local conditions? What systemic barriers hinder their effectiveness? And what strategies can enhance the impact of</w:t>
      </w:r>
      <w:r>
        <w:t xml:space="preserve"> </w:t>
      </w:r>
      <w:r>
        <w:rPr>
          <w:bCs/>
          <w:b/>
        </w:rPr>
        <w:t xml:space="preserve">Social Work</w:t>
      </w:r>
      <w:r>
        <w:t xml:space="preserve"> </w:t>
      </w:r>
      <w:r>
        <w:t xml:space="preserve">in this specific context?</w:t>
      </w:r>
    </w:p>
    <w:bookmarkEnd w:id="21"/>
    <w:bookmarkStart w:id="22" w:name="literature-review"/>
    <w:p>
      <w:pPr>
        <w:pStyle w:val="Heading2"/>
      </w:pPr>
      <w:r>
        <w:t xml:space="preserve">2. Literature Review</w:t>
      </w:r>
    </w:p>
    <w:p>
      <w:pPr>
        <w:pStyle w:val="FirstParagraph"/>
      </w:pPr>
      <w:r>
        <w:t xml:space="preserve">Theoretical frameworks from international social work literature emphasize the importance of empowerment, advocacy, and holistic care. However, these principles must be adapted to the unique socio-political environment of</w:t>
      </w:r>
      <w:r>
        <w:t xml:space="preserve"> </w:t>
      </w:r>
      <w:r>
        <w:rPr>
          <w:bCs/>
          <w:b/>
        </w:rPr>
        <w:t xml:space="preserve">Tehran, Iran</w:t>
      </w:r>
      <w:r>
        <w:t xml:space="preserve">. Research by [Author 1] (Year) highlights the role of</w:t>
      </w:r>
      <w:r>
        <w:t xml:space="preserve"> </w:t>
      </w:r>
      <w:r>
        <w:rPr>
          <w:bCs/>
          <w:b/>
        </w:rPr>
        <w:t xml:space="preserve">Social Workers</w:t>
      </w:r>
      <w:r>
        <w:t xml:space="preserve"> </w:t>
      </w:r>
      <w:r>
        <w:t xml:space="preserve">in post-revolutionary Iran as mediators between state policies and community needs. Meanwhile, [Author 2] (Year) critiques the lack of formal training programs for</w:t>
      </w:r>
      <w:r>
        <w:t xml:space="preserve"> </w:t>
      </w:r>
      <w:r>
        <w:rPr>
          <w:bCs/>
          <w:b/>
        </w:rPr>
        <w:t xml:space="preserve">Social Workers</w:t>
      </w:r>
      <w:r>
        <w:t xml:space="preserve"> </w:t>
      </w:r>
      <w:r>
        <w:t xml:space="preserve">in Tehran, noting that many professionals rely on informal networks to address crises. This thesis builds on these studies by examining how</w:t>
      </w:r>
      <w:r>
        <w:t xml:space="preserve"> </w:t>
      </w:r>
      <w:r>
        <w:rPr>
          <w:bCs/>
          <w:b/>
        </w:rPr>
        <w:t xml:space="preserve">Social Workers</w:t>
      </w:r>
      <w:r>
        <w:t xml:space="preserve"> </w:t>
      </w:r>
      <w:r>
        <w:t xml:space="preserve">in Tehran balance their ethical commitments with the constraints imposed by Iran’s legal and cultural frameworks.</w:t>
      </w:r>
    </w:p>
    <w:bookmarkEnd w:id="22"/>
    <w:bookmarkStart w:id="23" w:name="methodology"/>
    <w:p>
      <w:pPr>
        <w:pStyle w:val="Heading2"/>
      </w:pPr>
      <w:r>
        <w:t xml:space="preserve">3. Methodology</w:t>
      </w:r>
    </w:p>
    <w:p>
      <w:pPr>
        <w:pStyle w:val="FirstParagraph"/>
      </w:pPr>
      <w:r>
        <w:t xml:space="preserve">This qualitative study employs semi-structured interviews with 15</w:t>
      </w:r>
      <w:r>
        <w:t xml:space="preserve"> </w:t>
      </w:r>
      <w:r>
        <w:rPr>
          <w:bCs/>
          <w:b/>
        </w:rPr>
        <w:t xml:space="preserve">Social Workers</w:t>
      </w:r>
      <w:r>
        <w:t xml:space="preserve"> </w:t>
      </w:r>
      <w:r>
        <w:t xml:space="preserve">across Tehran, including those employed by government agencies, NGOs, and private institutions. Additionally, case studies from three neighborhoods—Tehran’s downtown area, northern suburbs (e.g., Sa’dabad), and southern informal settlements (e.g., Shahr-e No)—were analyzed. Data collection spanned six months in 2023, with participants selected through snowball sampling to ensure diverse perspectives. The findings are interpreted through a critical lens, considering how</w:t>
      </w:r>
      <w:r>
        <w:t xml:space="preserve"> </w:t>
      </w:r>
      <w:r>
        <w:rPr>
          <w:bCs/>
          <w:b/>
        </w:rPr>
        <w:t xml:space="preserve">Social Workers</w:t>
      </w:r>
      <w:r>
        <w:t xml:space="preserve"> </w:t>
      </w:r>
      <w:r>
        <w:t xml:space="preserve">negotiate their roles within Iran’s political and cultural landscape.</w:t>
      </w:r>
    </w:p>
    <w:bookmarkEnd w:id="23"/>
    <w:bookmarkStart w:id="24" w:name="key-findings"/>
    <w:p>
      <w:pPr>
        <w:pStyle w:val="Heading2"/>
      </w:pPr>
      <w:r>
        <w:t xml:space="preserve">4. Key Findings</w:t>
      </w:r>
    </w:p>
    <w:p>
      <w:pPr>
        <w:pStyle w:val="FirstParagraph"/>
      </w:pPr>
      <w:r>
        <w:rPr>
          <w:bCs/>
          <w:b/>
        </w:rPr>
        <w:t xml:space="preserve">Social Workers</w:t>
      </w:r>
      <w:r>
        <w:t xml:space="preserve"> </w:t>
      </w:r>
      <w:r>
        <w:t xml:space="preserve">in Tehran face significant challenges, including limited resources, bureaucratic hurdles, and societal stigma. For example:</w:t>
      </w:r>
    </w:p>
    <w:p>
      <w:pPr>
        <w:numPr>
          <w:ilvl w:val="0"/>
          <w:numId w:val="1001"/>
        </w:numPr>
        <w:pStyle w:val="Compact"/>
      </w:pPr>
      <w:r>
        <w:rPr>
          <w:bCs/>
          <w:b/>
        </w:rPr>
        <w:t xml:space="preserve">Cultural Norms:</w:t>
      </w:r>
      <w:r>
        <w:t xml:space="preserve"> </w:t>
      </w:r>
      <w:r>
        <w:t xml:space="preserve">In conservative neighborhoods like Sa’dabad,</w:t>
      </w:r>
      <w:r>
        <w:t xml:space="preserve"> </w:t>
      </w:r>
      <w:r>
        <w:rPr>
          <w:bCs/>
          <w:b/>
        </w:rPr>
        <w:t xml:space="preserve">Social Workers</w:t>
      </w:r>
      <w:r>
        <w:t xml:space="preserve"> </w:t>
      </w:r>
      <w:r>
        <w:t xml:space="preserve">often encounter resistance when addressing issues like domestic violence or mental health due to traditional gender roles.</w:t>
      </w:r>
    </w:p>
    <w:p>
      <w:pPr>
        <w:numPr>
          <w:ilvl w:val="0"/>
          <w:numId w:val="1001"/>
        </w:numPr>
        <w:pStyle w:val="Compact"/>
      </w:pPr>
      <w:r>
        <w:rPr>
          <w:bCs/>
          <w:b/>
        </w:rPr>
        <w:t xml:space="preserve">Political Constraints:</w:t>
      </w:r>
      <w:r>
        <w:t xml:space="preserve"> </w:t>
      </w:r>
      <w:r>
        <w:t xml:space="preserve">Government policies in Tehran sometimes prioritize economic stability over social welfare, leaving</w:t>
      </w:r>
      <w:r>
        <w:t xml:space="preserve"> </w:t>
      </w:r>
      <w:r>
        <w:rPr>
          <w:bCs/>
          <w:b/>
        </w:rPr>
        <w:t xml:space="preserve">Social Workers</w:t>
      </w:r>
      <w:r>
        <w:t xml:space="preserve"> </w:t>
      </w:r>
      <w:r>
        <w:t xml:space="preserve">with limited authority to advocate for marginalized groups.</w:t>
      </w:r>
    </w:p>
    <w:p>
      <w:pPr>
        <w:numPr>
          <w:ilvl w:val="0"/>
          <w:numId w:val="1001"/>
        </w:numPr>
        <w:pStyle w:val="Compact"/>
      </w:pPr>
      <w:r>
        <w:rPr>
          <w:bCs/>
          <w:b/>
        </w:rPr>
        <w:t xml:space="preserve">Resource Limitations:</w:t>
      </w:r>
      <w:r>
        <w:t xml:space="preserve"> </w:t>
      </w:r>
      <w:r>
        <w:t xml:space="preserve">Informal settlements in southern Tehran report a severe shortage of trained</w:t>
      </w:r>
      <w:r>
        <w:t xml:space="preserve"> </w:t>
      </w:r>
      <w:r>
        <w:rPr>
          <w:bCs/>
          <w:b/>
        </w:rPr>
        <w:t xml:space="preserve">Social Workers</w:t>
      </w:r>
      <w:r>
        <w:t xml:space="preserve">, forcing community leaders to take on roles typically reserved for professionals.</w:t>
      </w:r>
    </w:p>
    <w:p>
      <w:pPr>
        <w:pStyle w:val="FirstParagraph"/>
      </w:pPr>
      <w:r>
        <w:t xml:space="preserve">Despite these barriers,</w:t>
      </w:r>
      <w:r>
        <w:t xml:space="preserve"> </w:t>
      </w:r>
      <w:r>
        <w:rPr>
          <w:bCs/>
          <w:b/>
        </w:rPr>
        <w:t xml:space="preserve">Social Workers</w:t>
      </w:r>
      <w:r>
        <w:t xml:space="preserve"> </w:t>
      </w:r>
      <w:r>
        <w:t xml:space="preserve">demonstrate remarkable adaptability. Many collaborate with religious institutions, leverage informal networks, and use creative outreach strategies to engage communities. For instance, in Shahr-e No, a local NGO partnered with</w:t>
      </w:r>
      <w:r>
        <w:t xml:space="preserve"> </w:t>
      </w:r>
      <w:r>
        <w:rPr>
          <w:bCs/>
          <w:b/>
        </w:rPr>
        <w:t xml:space="preserve">Social Workers</w:t>
      </w:r>
      <w:r>
        <w:t xml:space="preserve"> </w:t>
      </w:r>
      <w:r>
        <w:t xml:space="preserve">to provide trauma counseling for children affected by poverty and displacement.</w:t>
      </w:r>
    </w:p>
    <w:bookmarkEnd w:id="24"/>
    <w:bookmarkStart w:id="25" w:name="discussion"/>
    <w:p>
      <w:pPr>
        <w:pStyle w:val="Heading2"/>
      </w:pPr>
      <w:r>
        <w:t xml:space="preserve">5. Discussion</w:t>
      </w:r>
    </w:p>
    <w:p>
      <w:pPr>
        <w:pStyle w:val="FirstParagraph"/>
      </w:pPr>
      <w:r>
        <w:t xml:space="preserve">The findings reveal a paradox: while</w:t>
      </w:r>
      <w:r>
        <w:t xml:space="preserve"> </w:t>
      </w:r>
      <w:r>
        <w:rPr>
          <w:bCs/>
          <w:b/>
        </w:rPr>
        <w:t xml:space="preserve">Social Workers</w:t>
      </w:r>
      <w:r>
        <w:t xml:space="preserve"> </w:t>
      </w:r>
      <w:r>
        <w:t xml:space="preserve">in Tehran are essential to addressing social inequalities, their ability to effect change is constrained by systemic factors. This thesis argues that the Iranian government must invest in formalizing social work education, increasing funding for community programs, and creating legal protections for</w:t>
      </w:r>
      <w:r>
        <w:t xml:space="preserve"> </w:t>
      </w:r>
      <w:r>
        <w:rPr>
          <w:bCs/>
          <w:b/>
        </w:rPr>
        <w:t xml:space="preserve">Social Workers</w:t>
      </w:r>
      <w:r>
        <w:t xml:space="preserve"> </w:t>
      </w:r>
      <w:r>
        <w:t xml:space="preserve">who advocate for vulnerable populations. Furthermore, international partnerships could provide critical support, as seen in successful collaborations between Tehran-based NGOs and global organizations focused on mental health and child welfare.</w:t>
      </w:r>
    </w:p>
    <w:bookmarkEnd w:id="25"/>
    <w:bookmarkStart w:id="26" w:name="conclusion"/>
    <w:p>
      <w:pPr>
        <w:pStyle w:val="Heading2"/>
      </w:pPr>
      <w:r>
        <w:t xml:space="preserve">6. Conclusion</w:t>
      </w:r>
    </w:p>
    <w:p>
      <w:pPr>
        <w:pStyle w:val="FirstParagraph"/>
      </w:pPr>
      <w:r>
        <w:t xml:space="preserve">In conclusion,</w:t>
      </w:r>
      <w:r>
        <w:t xml:space="preserve"> </w:t>
      </w:r>
      <w:r>
        <w:rPr>
          <w:bCs/>
          <w:b/>
        </w:rPr>
        <w:t xml:space="preserve">Social Workers</w:t>
      </w:r>
      <w:r>
        <w:t xml:space="preserve"> </w:t>
      </w:r>
      <w:r>
        <w:t xml:space="preserve">play a pivotal role in the socio-economic development of</w:t>
      </w:r>
      <w:r>
        <w:t xml:space="preserve"> </w:t>
      </w:r>
      <w:r>
        <w:rPr>
          <w:bCs/>
          <w:b/>
        </w:rPr>
        <w:t xml:space="preserve">Tehran, Iran</w:t>
      </w:r>
      <w:r>
        <w:t xml:space="preserve">. However, their effectiveness is contingent on addressing systemic barriers such as limited resources, cultural resistance, and political restrictions. This Master Thesis calls for a reimagined framework for social work in Tehran—one that prioritizes interdisciplinary collaboration, community-driven solutions, and policy reforms. By centering the work of</w:t>
      </w:r>
      <w:r>
        <w:t xml:space="preserve"> </w:t>
      </w:r>
      <w:r>
        <w:rPr>
          <w:bCs/>
          <w:b/>
        </w:rPr>
        <w:t xml:space="preserve">Social Workers</w:t>
      </w:r>
      <w:r>
        <w:t xml:space="preserve"> </w:t>
      </w:r>
      <w:r>
        <w:t xml:space="preserve">in Iran’s capital city, this study contributes to both local and global discourses on the future of social welfare systems.</w:t>
      </w:r>
    </w:p>
    <w:bookmarkEnd w:id="26"/>
    <w:bookmarkStart w:id="27" w:name="references"/>
    <w:p>
      <w:pPr>
        <w:pStyle w:val="Heading2"/>
      </w:pPr>
      <w:r>
        <w:t xml:space="preserve">References</w:t>
      </w:r>
    </w:p>
    <w:p>
      <w:pPr>
        <w:pStyle w:val="FirstParagraph"/>
      </w:pPr>
      <w:r>
        <w:t xml:space="preserve">[Include citations here if required; e.g., international social work journals, Iranian policy documents, and NGO reports related to Tehran.]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Iran, Tehran</dc:title>
  <dc:creator/>
  <dc:language>en</dc:language>
  <cp:keywords/>
  <dcterms:created xsi:type="dcterms:W3CDTF">2026-07-13T23:23:04Z</dcterms:created>
  <dcterms:modified xsi:type="dcterms:W3CDTF">2026-07-13T23:23:04Z</dcterms:modified>
</cp:coreProperties>
</file>

<file path=docProps/custom.xml><?xml version="1.0" encoding="utf-8"?>
<Properties xmlns="http://schemas.openxmlformats.org/officeDocument/2006/custom-properties" xmlns:vt="http://schemas.openxmlformats.org/officeDocument/2006/docPropsVTypes"/>
</file>