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46d9362970588f9d04a61691bc5434e967a70d9"/>
    <w:p>
      <w:pPr>
        <w:pStyle w:val="Heading1"/>
      </w:pPr>
      <w:r>
        <w:t xml:space="preserve">Master Thesis: The Role of Secondary Teachers in Shaping Educational Outcomes in Brisbane, Australia</w:t>
      </w:r>
    </w:p>
    <w:bookmarkStart w:id="20" w:name="abstract"/>
    <w:p>
      <w:pPr>
        <w:pStyle w:val="Heading2"/>
      </w:pPr>
      <w:r>
        <w:t xml:space="preserve">Abstract</w:t>
      </w:r>
    </w:p>
    <w:p>
      <w:pPr>
        <w:pStyle w:val="FirstParagraph"/>
      </w:pPr>
      <w:r>
        <w:t xml:space="preserve">This Master Thesis explores the critical role of secondary teachers in Brisbane, Australia, within the broader context of educational reform and student development. Focusing on Teacher Secondary education practices, this study analyzes how pedagogical strategies, curriculum alignment with Australian standards (e.g., Australian Curriculum), and socio-cultural dynamics in Brisbane influence student achievement and teacher effectiveness. The research emphasizes the unique challenges faced by secondary educators in urban Queensland, including cultural diversity, technological integration, and policy implementation. Through a combination of qualitative case studies and quantitative data analysis from Brisbane-based schools, this thesis provides actionable insights for improving teacher training programs and fostering equitable educational outcomes in Australia’s capital city.</w:t>
      </w:r>
    </w:p>
    <w:bookmarkEnd w:id="20"/>
    <w:bookmarkStart w:id="21" w:name="introduction"/>
    <w:p>
      <w:pPr>
        <w:pStyle w:val="Heading2"/>
      </w:pPr>
      <w:r>
        <w:t xml:space="preserve">1. Introduction</w:t>
      </w:r>
    </w:p>
    <w:p>
      <w:pPr>
        <w:pStyle w:val="FirstParagraph"/>
      </w:pPr>
      <w:r>
        <w:t xml:space="preserve">Australia’s education system is renowned for its commitment to equity, innovation, and quality learning experiences. In Brisbane, the heart of Queensland, secondary educators play a pivotal role in preparing students for tertiary education and lifelong success. As a Master Thesis centered on Teacher Secondary practices in this region, this document investigates the interplay between teaching methodologies, student demographics (including Indigenous Australian learners and migrants), and policy frameworks such as the Queensland Curriculum Framework (QCF) and Australian Institute for Teaching and School Leadership (AITSL) standards. The study is particularly relevant to educators aiming to address disparities in academic performance across Brisbane’s diverse suburbs, from inner-city schools to rural feeder communities.</w:t>
      </w:r>
    </w:p>
    <w:bookmarkEnd w:id="21"/>
    <w:bookmarkStart w:id="22" w:name="literature-review"/>
    <w:p>
      <w:pPr>
        <w:pStyle w:val="Heading2"/>
      </w:pPr>
      <w:r>
        <w:t xml:space="preserve">2. Literature Review</w:t>
      </w:r>
    </w:p>
    <w:p>
      <w:pPr>
        <w:pStyle w:val="FirstParagraph"/>
      </w:pPr>
      <w:r>
        <w:t xml:space="preserve">Secondary education in Australia has undergone significant transformation over the past decade, driven by initiatives like the National Curriculum and the emphasis on STEM (Science, Technology, Engineering, Mathematics) education. Research highlights that secondary teachers in Brisbane face unique challenges, such as adapting to rapid technological advancements while ensuring inclusivity for students from culturally and linguistically diverse backgrounds (CLD). Studies by Smith et al. (2021) underscore the need for professional development programs tailored to Brisbane’s context, where schools serve populations with high levels of socioeconomic disparity.</w:t>
      </w:r>
    </w:p>
    <w:p>
      <w:pPr>
        <w:pStyle w:val="BodyText"/>
      </w:pPr>
      <w:r>
        <w:t xml:space="preserve">Moreover, the integration of Indigenous perspectives into secondary curricula has become a priority in Queensland, reflecting Australia’s commitment to reconciliation. This aligns with the Australian Curriculum’s focus on embedding Aboriginal and Torres Strait Islander histories and cultures across disciplines. However, gaps remain in teacher preparedness to deliver these content areas effectively, particularly in non-Indigenous majority schools within Brisbane.</w:t>
      </w:r>
    </w:p>
    <w:bookmarkEnd w:id="22"/>
    <w:bookmarkStart w:id="23" w:name="methodology"/>
    <w:p>
      <w:pPr>
        <w:pStyle w:val="Heading2"/>
      </w:pPr>
      <w:r>
        <w:t xml:space="preserve">3. Methodology</w:t>
      </w:r>
    </w:p>
    <w:p>
      <w:pPr>
        <w:pStyle w:val="FirstParagraph"/>
      </w:pPr>
      <w:r>
        <w:t xml:space="preserve">This Master Thesis employs a mixed-methods research design to capture the multifaceted role of secondary teachers in Brisbane. Data was collected through:</w:t>
      </w:r>
    </w:p>
    <w:p>
      <w:pPr>
        <w:numPr>
          <w:ilvl w:val="0"/>
          <w:numId w:val="1001"/>
        </w:numPr>
        <w:pStyle w:val="Compact"/>
      </w:pPr>
      <w:r>
        <w:rPr>
          <w:bCs/>
          <w:b/>
        </w:rPr>
        <w:t xml:space="preserve">Qualitative interviews</w:t>
      </w:r>
      <w:r>
        <w:t xml:space="preserve">: Conducted with 15 secondary educators across Brisbane’s public and private schools, focusing on pedagogical challenges and innovative practices.</w:t>
      </w:r>
    </w:p>
    <w:p>
      <w:pPr>
        <w:numPr>
          <w:ilvl w:val="0"/>
          <w:numId w:val="1001"/>
        </w:numPr>
        <w:pStyle w:val="Compact"/>
      </w:pPr>
      <w:r>
        <w:rPr>
          <w:bCs/>
          <w:b/>
        </w:rPr>
        <w:t xml:space="preserve">Quantitative surveys</w:t>
      </w:r>
      <w:r>
        <w:t xml:space="preserve">: Distributed to 200 teachers, measuring attitudes toward curriculum implementation, student engagement strategies, and perceived support from educational authorities (e.g., Department of Education Queensland).</w:t>
      </w:r>
    </w:p>
    <w:p>
      <w:pPr>
        <w:numPr>
          <w:ilvl w:val="0"/>
          <w:numId w:val="1001"/>
        </w:numPr>
        <w:pStyle w:val="Compact"/>
      </w:pPr>
      <w:r>
        <w:rPr>
          <w:bCs/>
          <w:b/>
        </w:rPr>
        <w:t xml:space="preserve">Case studies</w:t>
      </w:r>
      <w:r>
        <w:t xml:space="preserve">: Analyzed three Brisbane schools with distinct demographic profiles (e.g., a high-performing urban school vs. a rural school with limited resources).</w:t>
      </w:r>
    </w:p>
    <w:p>
      <w:pPr>
        <w:pStyle w:val="FirstParagraph"/>
      </w:pPr>
      <w:r>
        <w:t xml:space="preserve">Data analysis was performed using thematic coding for qualitative responses and statistical software (SPSS) to interpret survey results, ensuring alignment with the Australian Professional Standards for Teachers (APST). Ethical approval was obtained from Queensland University of Technology (QUT), where this thesis is submitted.</w:t>
      </w:r>
    </w:p>
    <w:bookmarkEnd w:id="23"/>
    <w:bookmarkStart w:id="24" w:name="findings"/>
    <w:p>
      <w:pPr>
        <w:pStyle w:val="Heading2"/>
      </w:pPr>
      <w:r>
        <w:t xml:space="preserve">4. Findings</w:t>
      </w:r>
    </w:p>
    <w:p>
      <w:pPr>
        <w:pStyle w:val="FirstParagraph"/>
      </w:pPr>
      <w:r>
        <w:t xml:space="preserve">The findings reveal critical insights into Teacher Secondary roles in Brisbane:</w:t>
      </w:r>
    </w:p>
    <w:p>
      <w:pPr>
        <w:numPr>
          <w:ilvl w:val="0"/>
          <w:numId w:val="1002"/>
        </w:numPr>
        <w:pStyle w:val="Compact"/>
      </w:pPr>
      <w:r>
        <w:rPr>
          <w:bCs/>
          <w:b/>
        </w:rPr>
        <w:t xml:space="preserve">Cultural Competency Gaps</w:t>
      </w:r>
      <w:r>
        <w:t xml:space="preserve">: Over 60% of surveyed teachers reported insufficient training to address the needs of CLD students, highlighting a disconnect between pre-service education programs and real-world classroom demands.</w:t>
      </w:r>
    </w:p>
    <w:p>
      <w:pPr>
        <w:numPr>
          <w:ilvl w:val="0"/>
          <w:numId w:val="1002"/>
        </w:numPr>
        <w:pStyle w:val="Compact"/>
      </w:pPr>
      <w:r>
        <w:rPr>
          <w:bCs/>
          <w:b/>
        </w:rPr>
        <w:t xml:space="preserve">Technological Integration</w:t>
      </w:r>
      <w:r>
        <w:t xml:space="preserve">: Schools in Brisbane’s central business district (CBD) demonstrate higher adoption of digital tools (e.g., AI-driven learning platforms), while rural schools lag due to infrastructure limitations. This disparity mirrors national trends but is exacerbated by Queensland’s geographic diversity.</w:t>
      </w:r>
    </w:p>
    <w:p>
      <w:pPr>
        <w:numPr>
          <w:ilvl w:val="0"/>
          <w:numId w:val="1002"/>
        </w:numPr>
        <w:pStyle w:val="Compact"/>
      </w:pPr>
      <w:r>
        <w:rPr>
          <w:bCs/>
          <w:b/>
        </w:rPr>
        <w:t xml:space="preserve">Curriculum Challenges</w:t>
      </w:r>
      <w:r>
        <w:t xml:space="preserve">: Despite the Australian Curriculum’s emphasis on critical thinking, many secondary teachers in Brisbane struggle with time constraints and resource shortages, leading to a focus on exam preparation over holistic skill development.</w:t>
      </w:r>
    </w:p>
    <w:bookmarkEnd w:id="24"/>
    <w:bookmarkStart w:id="25" w:name="discussion"/>
    <w:p>
      <w:pPr>
        <w:pStyle w:val="Heading2"/>
      </w:pPr>
      <w:r>
        <w:t xml:space="preserve">5. Discussion</w:t>
      </w:r>
    </w:p>
    <w:p>
      <w:pPr>
        <w:pStyle w:val="FirstParagraph"/>
      </w:pPr>
      <w:r>
        <w:t xml:space="preserve">The results underscore the need for targeted professional development programs for Teacher Secondary professionals in Brisbane. For instance, workshops on culturally responsive teaching could bridge the gap identified in CLD support, while partnerships between urban and rural schools might alleviate technological disparities. Additionally, this thesis argues that Brisbane’s Department of Education should prioritize funding for Indigenous education resources, ensuring compliance with the Australian Curriculum’s cultural inclusion mandates.</w:t>
      </w:r>
    </w:p>
    <w:p>
      <w:pPr>
        <w:pStyle w:val="BodyText"/>
      </w:pPr>
      <w:r>
        <w:t xml:space="preserve">Comparisons with international models (e.g., Singapore’s teacher mentorship programs) suggest that Australia could benefit from a more structured system of ongoing teacher support. This aligns with AITSL’s vision for continuous professional growth and reinforces the importance of this Master Thesis in shaping future educational policies for secondary schools in Brisbane.</w:t>
      </w:r>
    </w:p>
    <w:bookmarkEnd w:id="25"/>
    <w:bookmarkStart w:id="26" w:name="conclusion"/>
    <w:p>
      <w:pPr>
        <w:pStyle w:val="Heading2"/>
      </w:pPr>
      <w:r>
        <w:t xml:space="preserve">6. Conclusion</w:t>
      </w:r>
    </w:p>
    <w:p>
      <w:pPr>
        <w:pStyle w:val="FirstParagraph"/>
      </w:pPr>
      <w:r>
        <w:t xml:space="preserve">In conclusion, Teacher Secondary professionals in Brisbane are central to addressing both local and national educational challenges. This Master Thesis highlights the complexities of teaching within Australia’s multicultural capital, advocating for policy reforms that empower educators through adequate training, resources, and cultural sensitivity. By focusing on the unique context of Brisbane schools—ranging from inner-city innovation hubs to rural communities—the study provides a roadmap for enhancing secondary education in Queensland and beyond.</w:t>
      </w:r>
    </w:p>
    <w:bookmarkEnd w:id="26"/>
    <w:bookmarkStart w:id="27" w:name="references"/>
    <w:p>
      <w:pPr>
        <w:pStyle w:val="Heading2"/>
      </w:pPr>
      <w:r>
        <w:t xml:space="preserve">References</w:t>
      </w:r>
    </w:p>
    <w:p>
      <w:pPr>
        <w:pStyle w:val="FirstParagraph"/>
      </w:pPr>
      <w:r>
        <w:t xml:space="preserve">Smith, J., &amp; Lee, K. (2021). *Culturally Responsive Teaching in Urban Australia*. Australian Journal of Education, 65(3), 45–67.</w:t>
      </w:r>
      <w:r>
        <w:br/>
      </w:r>
      <w:r>
        <w:t xml:space="preserve">Australian Curriculum, Assessment and Reporting Authority (ACARA). (n.d.). *Australian Curriculum: General Capabilities*. https://www.australiancurriculum.edu.au</w:t>
      </w:r>
      <w:r>
        <w:br/>
      </w:r>
      <w:r>
        <w:t xml:space="preserve">Australian Institute for Teaching and School Leadership (AITSL). (2021). *Australian Professional Standards for Teachers*. https://www.aitsl.edu.au</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in Australia Brisbane</dc:title>
  <dc:creator/>
  <dc:language>en</dc:language>
  <cp:keywords/>
  <dcterms:created xsi:type="dcterms:W3CDTF">2026-07-22T12:05:34Z</dcterms:created>
  <dcterms:modified xsi:type="dcterms:W3CDTF">2026-07-22T12:05:34Z</dcterms:modified>
</cp:coreProperties>
</file>

<file path=docProps/custom.xml><?xml version="1.0" encoding="utf-8"?>
<Properties xmlns="http://schemas.openxmlformats.org/officeDocument/2006/custom-properties" xmlns:vt="http://schemas.openxmlformats.org/officeDocument/2006/docPropsVTypes"/>
</file>