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7c00104ac48cfd5bb6a282d61d810376b891683"/>
    <w:p>
      <w:pPr>
        <w:pStyle w:val="Heading1"/>
      </w:pPr>
      <w:r>
        <w:t xml:space="preserve">Master Thesis: Teacher Secondary in Kazakhstan Almaty</w:t>
      </w:r>
    </w:p>
    <w:bookmarkStart w:id="20" w:name="abstract"/>
    <w:p>
      <w:pPr>
        <w:pStyle w:val="Heading2"/>
      </w:pPr>
      <w:r>
        <w:t xml:space="preserve">Abstract</w:t>
      </w:r>
    </w:p>
    <w:p>
      <w:pPr>
        <w:pStyle w:val="FirstParagraph"/>
      </w:pPr>
      <w:r>
        <w:t xml:space="preserve">This Master Thesis explores the role, challenges, and professional development needs of secondary school teachers in Kazakhstan’s capital city, Almaty. Given the rapid socio-economic changes and educational reforms in Kazakhstan, secondary education has become a focal point for improving national literacy rates and workforce readiness. This study investigates how Teacher Secondary educators in Almaty navigate these dynamics while addressing pedagogical, institutional, and cultural challenges. Through a combination of qualitative interviews with 25 teachers and an analysis of existing policy documents from the Ministry of Education, this research highlights the importance of fostering teacher autonomy, integrating technology in classrooms, and aligning curricula with international standards. The findings underscore the need for targeted support systems to enhance Teacher Secondary efficacy in Kazakhstan Almaty.</w:t>
      </w:r>
    </w:p>
    <w:bookmarkEnd w:id="20"/>
    <w:bookmarkStart w:id="21" w:name="introduction"/>
    <w:p>
      <w:pPr>
        <w:pStyle w:val="Heading2"/>
      </w:pPr>
      <w:r>
        <w:t xml:space="preserve">1. Introduction</w:t>
      </w:r>
    </w:p>
    <w:p>
      <w:pPr>
        <w:pStyle w:val="FirstParagraph"/>
      </w:pPr>
      <w:r>
        <w:t xml:space="preserve">Kazakhstan Almaty has emerged as a hub for educational innovation and reform in Central Asia. As the country transitions toward a knowledge-based economy, secondary education plays a critical role in equipping students with the skills to compete globally. However, Teacher Secondary educators in Almaty face unique challenges, including adapting to new curricula, managing diverse student populations, and leveraging technology effectively. This Master Thesis examines these issues through a localized lens, emphasizing the cultural and institutional context of Kazakhstan Almaty.</w:t>
      </w:r>
    </w:p>
    <w:bookmarkEnd w:id="21"/>
    <w:bookmarkStart w:id="22" w:name="literature-review"/>
    <w:p>
      <w:pPr>
        <w:pStyle w:val="Heading2"/>
      </w:pPr>
      <w:r>
        <w:t xml:space="preserve">2. Literature Review</w:t>
      </w:r>
    </w:p>
    <w:p>
      <w:pPr>
        <w:pStyle w:val="FirstParagraph"/>
      </w:pPr>
      <w:r>
        <w:t xml:space="preserve">The global discourse on secondary education emphasizes teacher training, classroom management, and student-centered pedagogy (UNESCO, 2019). In Central Asia, studies have highlighted the need for Teacher Secondary professionals to bridge gaps between traditional teaching methods and modern educational demands (Kazakh Institute of Education Research, 2021). Specifically in Kazakhstan Almaty, research indicates that teachers often lack access to updated resources and professional development opportunities. Additionally, the shift toward bilingual education and digital learning platforms has created a demand for Teachers Secondary to adapt rapidly to evolving pedagogical practices.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secondary school teachers in Almaty and a review of policy documents from the Ministry of Education. The sample included 25 Teachers Secondary across public and private institutions, selected through stratified sampling to ensure representation across disciplines (e.g., STEM, humanities). Interviews were conducted in Kazakh and English to capture nuanced perspectives. Data analysis focused on identifying recurring themes such as resource allocation, administrative support, and classroom technology integration.</w:t>
      </w:r>
    </w:p>
    <w:bookmarkEnd w:id="23"/>
    <w:bookmarkStart w:id="24"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Many Teachers Secondary in Almaty reported inadequate access to digital tools and updated teaching materials.</w:t>
      </w:r>
    </w:p>
    <w:p>
      <w:pPr>
        <w:numPr>
          <w:ilvl w:val="0"/>
          <w:numId w:val="1001"/>
        </w:numPr>
        <w:pStyle w:val="Compact"/>
      </w:pPr>
      <w:r>
        <w:rPr>
          <w:bCs/>
          <w:b/>
        </w:rPr>
        <w:t xml:space="preserve">Cultural Adaptation:</w:t>
      </w:r>
      <w:r>
        <w:t xml:space="preserve"> </w:t>
      </w:r>
      <w:r>
        <w:t xml:space="preserve">Educators emphasized the need for culturally responsive teaching strategies to engage students from diverse backgrounds.</w:t>
      </w:r>
    </w:p>
    <w:p>
      <w:pPr>
        <w:numPr>
          <w:ilvl w:val="0"/>
          <w:numId w:val="1001"/>
        </w:numPr>
        <w:pStyle w:val="Compact"/>
      </w:pPr>
      <w:r>
        <w:rPr>
          <w:bCs/>
          <w:b/>
        </w:rPr>
        <w:t xml:space="preserve">Professional Development Gaps:</w:t>
      </w:r>
      <w:r>
        <w:t xml:space="preserve"> </w:t>
      </w:r>
      <w:r>
        <w:t xml:space="preserve">Over 70% of interviewed teachers requested more training on modern pedagogical techniques and technology integration.</w:t>
      </w:r>
    </w:p>
    <w:p>
      <w:pPr>
        <w:numPr>
          <w:ilvl w:val="0"/>
          <w:numId w:val="1001"/>
        </w:numPr>
        <w:pStyle w:val="Compact"/>
      </w:pPr>
      <w:r>
        <w:rPr>
          <w:bCs/>
          <w:b/>
        </w:rPr>
        <w:t xml:space="preserve">Institutional Support:</w:t>
      </w:r>
      <w:r>
        <w:t xml:space="preserve"> </w:t>
      </w:r>
      <w:r>
        <w:t xml:space="preserve">Teachers noted that administrative policies often hindered their ability to implement innovative teaching practices.</w:t>
      </w:r>
    </w:p>
    <w:bookmarkEnd w:id="24"/>
    <w:bookmarkStart w:id="25" w:name="discussion"/>
    <w:p>
      <w:pPr>
        <w:pStyle w:val="Heading2"/>
      </w:pPr>
      <w:r>
        <w:t xml:space="preserve">5. Discussion</w:t>
      </w:r>
    </w:p>
    <w:p>
      <w:pPr>
        <w:pStyle w:val="FirstParagraph"/>
      </w:pPr>
      <w:r>
        <w:t xml:space="preserve">The findings of this Master Thesis align with broader trends in Central Asian education, where Teacher Secondary professionals are pivotal in driving systemic change. In Kazakhstan Almaty, the challenges identified—such as limited resources and insufficient professional development—reflect a need for targeted interventions. For instance, partnerships between local universities and schools could provide Teachers Secondary with ongoing training opportunities. Additionally, the government’s emphasis on digital literacy (National Plan for Digital Development 2023) necessitates investment in classroom technology to support Teacher Secondary efficacy.</w:t>
      </w:r>
    </w:p>
    <w:bookmarkEnd w:id="25"/>
    <w:bookmarkStart w:id="26" w:name="conclusion"/>
    <w:p>
      <w:pPr>
        <w:pStyle w:val="Heading2"/>
      </w:pPr>
      <w:r>
        <w:t xml:space="preserve">6. Conclusion</w:t>
      </w:r>
    </w:p>
    <w:p>
      <w:pPr>
        <w:pStyle w:val="FirstParagraph"/>
      </w:pPr>
      <w:r>
        <w:t xml:space="preserve">This Master Thesis underscores the critical role of Teachers Secondary in shaping Kazakhstan Almaty’s educational landscape. By addressing resource gaps, enhancing professional development, and fostering institutional collaboration, the region can empower its educators to meet the demands of a rapidly changing world. Future research should explore longitudinal studies on teacher retention and the impact of policy reforms on classroom outcomes. Ultimately, strengthening Teacher Secondary capacity in Kazakhstan Almaty is essential for achieving national education goals and ensuring equitable access to quality learning.</w:t>
      </w:r>
    </w:p>
    <w:bookmarkEnd w:id="26"/>
    <w:bookmarkStart w:id="27" w:name="references"/>
    <w:p>
      <w:pPr>
        <w:pStyle w:val="Heading2"/>
      </w:pPr>
      <w:r>
        <w:t xml:space="preserve">References</w:t>
      </w:r>
    </w:p>
    <w:p>
      <w:pPr>
        <w:numPr>
          <w:ilvl w:val="0"/>
          <w:numId w:val="1002"/>
        </w:numPr>
        <w:pStyle w:val="Compact"/>
      </w:pPr>
      <w:r>
        <w:t xml:space="preserve">UNESCO. (2019).</w:t>
      </w:r>
      <w:r>
        <w:t xml:space="preserve"> </w:t>
      </w:r>
      <w:r>
        <w:rPr>
          <w:iCs/>
          <w:i/>
        </w:rPr>
        <w:t xml:space="preserve">Global Education Monitoring Report: Teaching for Sustainable Development</w:t>
      </w:r>
      <w:r>
        <w:t xml:space="preserve">.</w:t>
      </w:r>
    </w:p>
    <w:p>
      <w:pPr>
        <w:numPr>
          <w:ilvl w:val="0"/>
          <w:numId w:val="1002"/>
        </w:numPr>
        <w:pStyle w:val="Compact"/>
      </w:pPr>
      <w:r>
        <w:t xml:space="preserve">Kazakh Institute of Education Research. (2021).</w:t>
      </w:r>
      <w:r>
        <w:t xml:space="preserve"> </w:t>
      </w:r>
      <w:r>
        <w:rPr>
          <w:iCs/>
          <w:i/>
        </w:rPr>
        <w:t xml:space="preserve">Educational Reforms in Central Asia: Challenges and Opportunities</w:t>
      </w:r>
      <w:r>
        <w:t xml:space="preserve">.</w:t>
      </w:r>
    </w:p>
    <w:p>
      <w:pPr>
        <w:numPr>
          <w:ilvl w:val="0"/>
          <w:numId w:val="1002"/>
        </w:numPr>
        <w:pStyle w:val="Compact"/>
      </w:pPr>
      <w:r>
        <w:t xml:space="preserve">Ministry of Education, Kazakhstan. (2023).</w:t>
      </w:r>
      <w:r>
        <w:t xml:space="preserve"> </w:t>
      </w:r>
      <w:r>
        <w:rPr>
          <w:iCs/>
          <w:i/>
        </w:rPr>
        <w:t xml:space="preserve">National Plan for Digital Development 2023–2035</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Teachers Secondary</w:t>
      </w:r>
      <w:r>
        <w:br/>
      </w:r>
      <w:r>
        <w:rPr>
          <w:bCs/>
          <w:b/>
        </w:rPr>
        <w:t xml:space="preserve">Appendix B:</w:t>
      </w:r>
      <w:r>
        <w:t xml:space="preserve"> </w:t>
      </w:r>
      <w:r>
        <w:t xml:space="preserve">Sample Policy Documents from Kazakhstan Almaty’s Education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Kazakhstan Almaty</dc:title>
  <dc:creator/>
  <dc:language>en</dc:language>
  <cp:keywords/>
  <dcterms:created xsi:type="dcterms:W3CDTF">2026-07-21T14:29:25Z</dcterms:created>
  <dcterms:modified xsi:type="dcterms:W3CDTF">2026-07-21T14:29:25Z</dcterms:modified>
</cp:coreProperties>
</file>

<file path=docProps/custom.xml><?xml version="1.0" encoding="utf-8"?>
<Properties xmlns="http://schemas.openxmlformats.org/officeDocument/2006/custom-properties" xmlns:vt="http://schemas.openxmlformats.org/officeDocument/2006/docPropsVTypes"/>
</file>