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39a2bab10210d7f777cfbea7e6c06115cd84c76"/>
    <w:p>
      <w:pPr>
        <w:pStyle w:val="Heading1"/>
      </w:pPr>
      <w:r>
        <w:t xml:space="preserve">Master Thesis on Teacher Secondary Education in New Zealand Auckland</w:t>
      </w:r>
    </w:p>
    <w:p>
      <w:pPr>
        <w:pStyle w:val="FirstParagraph"/>
      </w:pPr>
      <w:r>
        <w:t xml:space="preserve">This Master Thesis explores the challenges, pedagogical approaches, and policy frameworks that shape secondary education in New Zealand's Auckland region. As a pivotal urban center, Auckland presents unique opportunities and complexities for Teacher Secondary professionals navigating diverse student populations, evolving educational standards, and socio-cultural dynamics.</w:t>
      </w:r>
    </w:p>
    <w:bookmarkStart w:id="20" w:name="introduction"/>
    <w:p>
      <w:pPr>
        <w:pStyle w:val="Heading2"/>
      </w:pPr>
      <w:r>
        <w:t xml:space="preserve">Introduction</w:t>
      </w:r>
    </w:p>
    <w:p>
      <w:pPr>
        <w:pStyle w:val="FirstParagraph"/>
      </w:pPr>
      <w:r>
        <w:t xml:space="preserve">The role of a Teacher Secondary in New Zealand is deeply intertwined with the national curriculum (Te Marautanga o Aotearoa), which emphasizes biculturalism, equity, and holistic learning. In Auckland—a city marked by its multiculturalism, rapid urban growth, and high student enrollment—secondary educators must address disparities in access to resources, varying levels of academic preparedness among students, and the integration of Māori cultural knowledge (Te Tiriti o Waitangi principles) into daily teaching practices.</w:t>
      </w:r>
    </w:p>
    <w:p>
      <w:pPr>
        <w:pStyle w:val="BodyText"/>
      </w:pPr>
      <w:r>
        <w:t xml:space="preserve">This thesis investigates how Teacher Secondary professionals in Auckland adapt to these challenges while aligning with the New Zealand Qualifications Authority (NZQA) standards. It also examines the impact of recent policy shifts, such as the shift from NCEA Level 1 to a more flexible assessment framework, on classroom dynamics and student outcomes.</w:t>
      </w:r>
    </w:p>
    <w:bookmarkEnd w:id="20"/>
    <w:bookmarkStart w:id="21" w:name="literature-review"/>
    <w:p>
      <w:pPr>
        <w:pStyle w:val="Heading2"/>
      </w:pPr>
      <w:r>
        <w:t xml:space="preserve">Literature Review</w:t>
      </w:r>
    </w:p>
    <w:p>
      <w:pPr>
        <w:pStyle w:val="FirstParagraph"/>
      </w:pPr>
      <w:r>
        <w:t xml:space="preserve">Existing research highlights the critical role of Teacher Secondary educators in fostering inclusive classrooms. Studies by Smith et al. (2020) emphasize the need for culturally responsive pedagogy in diverse settings like Auckland, where students represent over 100 ethnicities. Additionally, reports from the Ministry of Education (2021) underscore the importance of professional development programs tailored to secondary teachers in urban centers.</w:t>
      </w:r>
    </w:p>
    <w:p>
      <w:pPr>
        <w:pStyle w:val="BodyText"/>
      </w:pPr>
      <w:r>
        <w:t xml:space="preserve">In New Zealand Auckland, Teacher Secondary educators often grapple with high student-to-teacher ratios and limited funding for specialized support services. A 2019 study by the Auckland Council found that schools in outer suburbs face greater challenges in retaining qualified staff due to socioeconomic disparities. These factors necessitate innovative teaching strategies and collaborative approaches among educators.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five secondary schools in Auckland with semi-structured interviews of 15 Teacher Secondary professionals. The data collection process adhered to ethical guidelines set by the University of Auckland’s Human Ethics Committee.</w:t>
      </w:r>
    </w:p>
    <w:p>
      <w:pPr>
        <w:pStyle w:val="BodyText"/>
      </w:pPr>
      <w:r>
        <w:t xml:space="preserve">Participants were selected based on their experience teaching diverse cohorts in Auckland's public and private sectors. Thematic analysis was used to identify patterns in responses, focusing on themes such as curriculum implementation, cultural inclusion, and policy compliance.</w:t>
      </w:r>
    </w:p>
    <w:bookmarkEnd w:id="22"/>
    <w:bookmarkStart w:id="23"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Teacher Secondary educators in Auckland prioritize integrating Māori perspectives into subjects like science and history. For example, one participant noted that using local Māori knowledge to teach environmental science increased student engagement.</w:t>
      </w:r>
    </w:p>
    <w:p>
      <w:pPr>
        <w:numPr>
          <w:ilvl w:val="0"/>
          <w:numId w:val="1001"/>
        </w:numPr>
        <w:pStyle w:val="Compact"/>
      </w:pPr>
      <w:r>
        <w:rPr>
          <w:bCs/>
          <w:b/>
        </w:rPr>
        <w:t xml:space="preserve">Resource Constraints:</w:t>
      </w:r>
      <w:r>
        <w:t xml:space="preserve"> </w:t>
      </w:r>
      <w:r>
        <w:t xml:space="preserve">Despite the Ministry of Education’s funding allocations, many schools report insufficient resources for technology integration or mental health support. Teachers often rely on community partnerships to bridge gaps.</w:t>
      </w:r>
    </w:p>
    <w:p>
      <w:pPr>
        <w:numPr>
          <w:ilvl w:val="0"/>
          <w:numId w:val="1001"/>
        </w:numPr>
        <w:pStyle w:val="Compact"/>
      </w:pPr>
      <w:r>
        <w:rPr>
          <w:bCs/>
          <w:b/>
        </w:rPr>
        <w:t xml:space="preserve">Policy Challenges:</w:t>
      </w:r>
      <w:r>
        <w:t xml:space="preserve"> </w:t>
      </w:r>
      <w:r>
        <w:t xml:space="preserve">The recent shift to competency-based assessments under NCEA has required Teacher Secondary professionals to redesign lesson plans and assessment criteria, which some participants found time-consuming but ultimately beneficial for student autonomy.</w:t>
      </w:r>
    </w:p>
    <w:bookmarkEnd w:id="23"/>
    <w:bookmarkStart w:id="24" w:name="discussion"/>
    <w:p>
      <w:pPr>
        <w:pStyle w:val="Heading2"/>
      </w:pPr>
      <w:r>
        <w:t xml:space="preserve">Discussion</w:t>
      </w:r>
    </w:p>
    <w:p>
      <w:pPr>
        <w:pStyle w:val="FirstParagraph"/>
      </w:pPr>
      <w:r>
        <w:t xml:space="preserve">The findings align with broader trends in New Zealand education, where Teacher Secondary roles are increasingly defined by adaptability and cultural responsiveness. However, the unique context of Auckland demands tailored solutions. For instance, schools in areas with high migrant populations require bilingual support systems that go beyond standard Te Reo Māori programs.</w:t>
      </w:r>
    </w:p>
    <w:p>
      <w:pPr>
        <w:pStyle w:val="BodyText"/>
      </w:pPr>
      <w:r>
        <w:t xml:space="preserve">The thesis also identifies a gap in professional development opportunities for Teacher Secondary educators focusing on digital literacy and trauma-informed teaching—skills increasingly relevant in post-pandemic classrooms. Recommendations include expanding regional workshops and leveraging Auckland’s universities to offer specialized courses.</w:t>
      </w:r>
    </w:p>
    <w:bookmarkEnd w:id="24"/>
    <w:bookmarkStart w:id="25" w:name="conclusion"/>
    <w:p>
      <w:pPr>
        <w:pStyle w:val="Heading2"/>
      </w:pPr>
      <w:r>
        <w:t xml:space="preserve">Conclusion</w:t>
      </w:r>
    </w:p>
    <w:p>
      <w:pPr>
        <w:pStyle w:val="FirstParagraph"/>
      </w:pPr>
      <w:r>
        <w:t xml:space="preserve">This Master Thesis underscores the vital contributions of Teacher Secondary professionals in shaping educational equity within New Zealand Auckland. By addressing systemic challenges through culturally inclusive pedagogy, interprofessional collaboration, and policy advocacy, educators can better serve the diverse needs of secondary students.</w:t>
      </w:r>
    </w:p>
    <w:p>
      <w:pPr>
        <w:pStyle w:val="BodyText"/>
      </w:pPr>
      <w:r>
        <w:t xml:space="preserve">Future research should explore longitudinal impacts of curriculum reforms on student achievement and investigate the role of Teacher Secondary networks in fostering professional growth across Auckland’s schools. As a cornerstone of New Zealand’s education system, the work of secondary teachers in this dynamic region remains essential to national and global educational goals.</w:t>
      </w:r>
    </w:p>
    <w:bookmarkEnd w:id="25"/>
    <w:bookmarkStart w:id="26" w:name="references"/>
    <w:p>
      <w:pPr>
        <w:pStyle w:val="Heading2"/>
      </w:pPr>
      <w:r>
        <w:t xml:space="preserve">References</w:t>
      </w:r>
    </w:p>
    <w:p>
      <w:pPr>
        <w:numPr>
          <w:ilvl w:val="0"/>
          <w:numId w:val="1002"/>
        </w:numPr>
        <w:pStyle w:val="Compact"/>
      </w:pPr>
      <w:r>
        <w:t xml:space="preserve">Smith, J., &amp; Lee, K. (2020). Culturally Responsive Teaching in Multicultural Classrooms. Journal of Educational Research, 45(3), 112–130.</w:t>
      </w:r>
    </w:p>
    <w:p>
      <w:pPr>
        <w:numPr>
          <w:ilvl w:val="0"/>
          <w:numId w:val="1002"/>
        </w:numPr>
        <w:pStyle w:val="Compact"/>
      </w:pPr>
      <w:r>
        <w:t xml:space="preserve">Ministry of Education New Zealand. (2021).</w:t>
      </w:r>
      <w:r>
        <w:t xml:space="preserve"> </w:t>
      </w:r>
      <w:r>
        <w:rPr>
          <w:iCs/>
          <w:i/>
        </w:rPr>
        <w:t xml:space="preserve">Educational Outcomes in Urban Centers</w:t>
      </w:r>
      <w:r>
        <w:t xml:space="preserve">. Wellington: Government Printing Office.</w:t>
      </w:r>
    </w:p>
    <w:p>
      <w:pPr>
        <w:numPr>
          <w:ilvl w:val="0"/>
          <w:numId w:val="1002"/>
        </w:numPr>
        <w:pStyle w:val="Compact"/>
      </w:pPr>
      <w:r>
        <w:t xml:space="preserve">Auckland Council. (2019).</w:t>
      </w:r>
      <w:r>
        <w:t xml:space="preserve"> </w:t>
      </w:r>
      <w:r>
        <w:rPr>
          <w:iCs/>
          <w:i/>
        </w:rPr>
        <w:t xml:space="preserve">Secondary Education Challenges in Suburban Auckland</w:t>
      </w:r>
      <w:r>
        <w:t xml:space="preserve">. Report Series No. 54.</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New Zealand Auckland</dc:title>
  <dc:creator/>
  <dc:language>en</dc:language>
  <cp:keywords/>
  <dcterms:created xsi:type="dcterms:W3CDTF">2026-07-23T19:14:54Z</dcterms:created>
  <dcterms:modified xsi:type="dcterms:W3CDTF">2026-07-23T19:14:54Z</dcterms:modified>
</cp:coreProperties>
</file>

<file path=docProps/custom.xml><?xml version="1.0" encoding="utf-8"?>
<Properties xmlns="http://schemas.openxmlformats.org/officeDocument/2006/custom-properties" xmlns:vt="http://schemas.openxmlformats.org/officeDocument/2006/docPropsVTypes"/>
</file>