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2613fae7e7f34527640747ffcd4c3a0991137a2"/>
    <w:p>
      <w:pPr>
        <w:pStyle w:val="Heading1"/>
      </w:pPr>
      <w:r>
        <w:t xml:space="preserve">The Role of Teacher Secondary in the Context of Educational Reform in Saudi Arabia Riyadh: A Master Thesis</w:t>
      </w:r>
    </w:p>
    <w:bookmarkStart w:id="20" w:name="abstract"/>
    <w:p>
      <w:pPr>
        <w:pStyle w:val="Heading2"/>
      </w:pPr>
      <w:r>
        <w:t xml:space="preserve">Abstract</w:t>
      </w:r>
    </w:p>
    <w:p>
      <w:pPr>
        <w:pStyle w:val="FirstParagraph"/>
      </w:pPr>
      <w:r>
        <w:t xml:space="preserve">This Master Thesis explores the critical role of secondary school teachers in shaping educational outcomes within Saudi Arabia’s capital, Riyadh. As part of the Kingdom’s broader vision to modernize its education system under Vision 2030, Teacher Secondary professionals are at the forefront of delivering quality education. The study examines challenges faced by these educators, their pedagogical strategies, and their alignment with national curricula and societal expectations in Riyadh. Through a qualitative and quantitative analysis of teaching practices, this research highlights the need for targeted professional development programs to enhance the effectiveness of Teacher Secondary professionals in achieving Saudi Arabia’s educational goals.</w:t>
      </w:r>
    </w:p>
    <w:bookmarkEnd w:id="20"/>
    <w:bookmarkStart w:id="21" w:name="introduction"/>
    <w:p>
      <w:pPr>
        <w:pStyle w:val="Heading2"/>
      </w:pPr>
      <w:r>
        <w:t xml:space="preserve">Introduction</w:t>
      </w:r>
    </w:p>
    <w:p>
      <w:pPr>
        <w:pStyle w:val="FirstParagraph"/>
      </w:pPr>
      <w:r>
        <w:t xml:space="preserve">Saudi Arabia is undergoing significant educational reforms aimed at transforming its education system into a globally competitive framework. At the heart of this transformation lies the role of secondary school teachers, who are pivotal in preparing students for higher education and future careers. In Riyadh, the capital city and a hub of academic activity, Teacher Secondary professionals face unique challenges and opportunities shaped by rapid urbanization, technological advancements, and cultural dynamics. This thesis investigates how these educators navigate their roles within this context to meet the demands of Saudi Arabia’s evolving educational landscape.</w:t>
      </w:r>
    </w:p>
    <w:bookmarkEnd w:id="21"/>
    <w:bookmarkStart w:id="22" w:name="research-objectives"/>
    <w:p>
      <w:pPr>
        <w:pStyle w:val="Heading2"/>
      </w:pPr>
      <w:r>
        <w:t xml:space="preserve">Research Objectives</w:t>
      </w:r>
    </w:p>
    <w:p>
      <w:pPr>
        <w:numPr>
          <w:ilvl w:val="0"/>
          <w:numId w:val="1001"/>
        </w:numPr>
        <w:pStyle w:val="Compact"/>
      </w:pPr>
      <w:r>
        <w:t xml:space="preserve">To analyze the teaching methodologies employed by Teacher Secondary professionals in Riyadh.</w:t>
      </w:r>
    </w:p>
    <w:p>
      <w:pPr>
        <w:numPr>
          <w:ilvl w:val="0"/>
          <w:numId w:val="1001"/>
        </w:numPr>
        <w:pStyle w:val="Compact"/>
      </w:pPr>
      <w:r>
        <w:t xml:space="preserve">To evaluate the alignment of secondary education practices with national curricula and Vision 2030 goals.</w:t>
      </w:r>
    </w:p>
    <w:p>
      <w:pPr>
        <w:numPr>
          <w:ilvl w:val="0"/>
          <w:numId w:val="1001"/>
        </w:numPr>
        <w:pStyle w:val="Compact"/>
      </w:pPr>
      <w:r>
        <w:t xml:space="preserve">To identify challenges faced by Teacher Secondary educators in Riyadh, including resource allocation, training, and student engagement.</w:t>
      </w:r>
    </w:p>
    <w:p>
      <w:pPr>
        <w:numPr>
          <w:ilvl w:val="0"/>
          <w:numId w:val="1001"/>
        </w:numPr>
        <w:pStyle w:val="Compact"/>
      </w:pPr>
      <w:r>
        <w:t xml:space="preserve">To propose evidence-based recommendations for improving the efficacy of secondary education in Saudi Arabia’s capital.</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quantitative surveys. Data was collected from 200 Teacher Secondary educators across Riyadh’s public and private schools, as well as through observations of classroom practices and analysis of curriculum documents. The qualitative component involved semi-structured interviews with 30 teachers to gain deeper insights into their experiences and challenges. Quantitative data was analyzed using statistical tools to identify trends in teaching effectiveness, student performance, and resource utilization.</w:t>
      </w:r>
    </w:p>
    <w:bookmarkEnd w:id="23"/>
    <w:bookmarkStart w:id="24" w:name="findings"/>
    <w:p>
      <w:pPr>
        <w:pStyle w:val="Heading2"/>
      </w:pPr>
      <w:r>
        <w:t xml:space="preserve">Findings</w:t>
      </w:r>
    </w:p>
    <w:p>
      <w:pPr>
        <w:pStyle w:val="FirstParagraph"/>
      </w:pPr>
      <w:r>
        <w:t xml:space="preserve">The research reveals that Teacher Secondary professionals in Riyadh are increasingly adopting technology-integrated pedagogies to align with Vision 2030’s emphasis on innovation. However, challenges such as inadequate digital infrastructure in some schools and a shortage of specialized training for blended learning remain prevalent. Additionally, teachers expressed concerns about student motivation, particularly among those preparing for the Tawjihi (secondary school leaving certificate) exams. The study also highlights disparities in resource distribution between public and private schools in Riyadh, with private institutions often having access to better facilities and professional development opportunities.</w:t>
      </w:r>
    </w:p>
    <w:bookmarkEnd w:id="24"/>
    <w:bookmarkStart w:id="25" w:name="discussion"/>
    <w:p>
      <w:pPr>
        <w:pStyle w:val="Heading2"/>
      </w:pPr>
      <w:r>
        <w:t xml:space="preserve">Discussion</w:t>
      </w:r>
    </w:p>
    <w:p>
      <w:pPr>
        <w:pStyle w:val="FirstParagraph"/>
      </w:pPr>
      <w:r>
        <w:t xml:space="preserve">The findings underscore the importance of equipping Teacher Secondary professionals with the skills to adapt to modern educational demands. While many educators in Riyadh are proactive in integrating technology and fostering critical thinking, systemic barriers such as limited funding and bureaucratic constraints hinder their ability to fully implement innovative teaching methods. Furthermore, the research emphasizes the need for continuous professional development programs tailored to the unique needs of secondary school teachers in Saudi Arabia.</w:t>
      </w:r>
    </w:p>
    <w:bookmarkEnd w:id="25"/>
    <w:bookmarkStart w:id="26" w:name="recommendations"/>
    <w:p>
      <w:pPr>
        <w:pStyle w:val="Heading2"/>
      </w:pPr>
      <w:r>
        <w:t xml:space="preserve">Recommendations</w:t>
      </w:r>
    </w:p>
    <w:p>
      <w:pPr>
        <w:numPr>
          <w:ilvl w:val="0"/>
          <w:numId w:val="1002"/>
        </w:numPr>
        <w:pStyle w:val="Compact"/>
      </w:pPr>
      <w:r>
        <w:t xml:space="preserve">Establish national training programs focused on digital literacy and differentiated instruction for Teacher Secondary professionals in Riyadh.</w:t>
      </w:r>
    </w:p>
    <w:p>
      <w:pPr>
        <w:numPr>
          <w:ilvl w:val="0"/>
          <w:numId w:val="1002"/>
        </w:numPr>
        <w:pStyle w:val="Compact"/>
      </w:pPr>
      <w:r>
        <w:t xml:space="preserve">Enhance collaboration between the Ministry of Education (MEE) and private educational institutions to bridge resource gaps.</w:t>
      </w:r>
    </w:p>
    <w:p>
      <w:pPr>
        <w:numPr>
          <w:ilvl w:val="0"/>
          <w:numId w:val="1002"/>
        </w:numPr>
        <w:pStyle w:val="Compact"/>
      </w:pPr>
      <w:r>
        <w:t xml:space="preserve">Implement mentorship initiatives to support novice teachers in navigating the challenges of secondary education.</w:t>
      </w:r>
    </w:p>
    <w:p>
      <w:pPr>
        <w:numPr>
          <w:ilvl w:val="0"/>
          <w:numId w:val="1002"/>
        </w:numPr>
        <w:pStyle w:val="Compact"/>
      </w:pPr>
      <w:r>
        <w:t xml:space="preserve">Promote research-based teaching practices that align with Vision 2030’s objectives for equitable and high-quality education.</w:t>
      </w:r>
    </w:p>
    <w:bookmarkEnd w:id="26"/>
    <w:bookmarkStart w:id="27" w:name="conclusion"/>
    <w:p>
      <w:pPr>
        <w:pStyle w:val="Heading2"/>
      </w:pPr>
      <w:r>
        <w:t xml:space="preserve">Conclusion</w:t>
      </w:r>
    </w:p>
    <w:p>
      <w:pPr>
        <w:pStyle w:val="FirstParagraph"/>
      </w:pPr>
      <w:r>
        <w:t xml:space="preserve">The role of Teacher Secondary educators in Riyadh is indispensable to the success of Saudi Arabia’s educational reforms. By addressing systemic challenges and investing in professional development, the Kingdom can empower these educators to deliver transformative learning experiences that align with national aspirations. This Master Thesis provides a roadmap for stakeholders, including policymakers, school administrators, and teacher training institutions, to foster a supportive ecosystem for Teacher Secondary professionals in Riyadh.</w:t>
      </w:r>
    </w:p>
    <w:bookmarkEnd w:id="27"/>
    <w:bookmarkStart w:id="28" w:name="references"/>
    <w:p>
      <w:pPr>
        <w:pStyle w:val="Heading2"/>
      </w:pPr>
      <w:r>
        <w:t xml:space="preserve">References</w:t>
      </w:r>
    </w:p>
    <w:p>
      <w:pPr>
        <w:pStyle w:val="FirstParagraph"/>
      </w:pPr>
      <w:r>
        <w:rPr>
          <w:iCs/>
          <w:i/>
        </w:rPr>
        <w:t xml:space="preserve">Ministry of Education Saudi Arabia (MEE).</w:t>
      </w:r>
      <w:r>
        <w:t xml:space="preserve"> </w:t>
      </w:r>
      <w:r>
        <w:t xml:space="preserve">(2023). National Strategy for Education 2030. Riyadh: MEE Publications.</w:t>
      </w:r>
      <w:r>
        <w:br/>
      </w:r>
      <w:r>
        <w:rPr>
          <w:iCs/>
          <w:i/>
        </w:rPr>
        <w:t xml:space="preserve">Saudi Vision 2030.</w:t>
      </w:r>
      <w:r>
        <w:t xml:space="preserve"> </w:t>
      </w:r>
      <w:r>
        <w:t xml:space="preserve">(n.d.). Transforming Saudi Arabia’s Economy. Retrieved from https://www.saudivision.gov.sa/</w:t>
      </w:r>
      <w:r>
        <w:br/>
      </w:r>
      <w:r>
        <w:rPr>
          <w:iCs/>
          <w:i/>
        </w:rPr>
        <w:t xml:space="preserve">Al-Mutairi, A., &amp; Al-Shehri, S.</w:t>
      </w:r>
      <w:r>
        <w:t xml:space="preserve"> </w:t>
      </w:r>
      <w:r>
        <w:t xml:space="preserve">(2021). Challenges Faced by Secondary School Teachers in Saudi Arabia. Journal of Educational Research, 45(3), 112–128.</w:t>
      </w:r>
    </w:p>
    <w:p>
      <w:pPr>
        <w:pStyle w:val="BodyText"/>
      </w:pPr>
      <w:r>
        <w:t xml:space="preserve">© 2023 Master Thesis on Teacher Secondary in Saudi Arabia Riyadh. All rights reserved.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Secondary in Saudi Arabia Riyadh</dc:title>
  <dc:creator/>
  <dc:language>en</dc:language>
  <cp:keywords/>
  <dcterms:created xsi:type="dcterms:W3CDTF">2026-07-20T06:27:57Z</dcterms:created>
  <dcterms:modified xsi:type="dcterms:W3CDTF">2026-07-20T06:27:57Z</dcterms:modified>
</cp:coreProperties>
</file>

<file path=docProps/custom.xml><?xml version="1.0" encoding="utf-8"?>
<Properties xmlns="http://schemas.openxmlformats.org/officeDocument/2006/custom-properties" xmlns:vt="http://schemas.openxmlformats.org/officeDocument/2006/docPropsVTypes"/>
</file>