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Teacher</w:t>
      </w:r>
      <w:r>
        <w:t xml:space="preserve"> </w:t>
      </w:r>
      <w:r>
        <w:t xml:space="preserve">Secondary</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33" w:name="X14e9ff4d5b22e1819162605cb17452caeb47ea9"/>
    <w:p>
      <w:pPr>
        <w:pStyle w:val="Heading1"/>
      </w:pPr>
      <w:r>
        <w:t xml:space="preserve">Master Thesis: The Role of Teacher Secondary in Enhancing Educational Outcomes in Turkey Ankara</w:t>
      </w:r>
    </w:p>
    <w:bookmarkStart w:id="20" w:name="introduction"/>
    <w:p>
      <w:pPr>
        <w:pStyle w:val="Heading2"/>
      </w:pPr>
      <w:r>
        <w:t xml:space="preserve">Introduction</w:t>
      </w:r>
    </w:p>
    <w:p>
      <w:pPr>
        <w:pStyle w:val="FirstParagraph"/>
      </w:pPr>
      <w:r>
        <w:t xml:space="preserve">This Master Thesis explores the critical role of Teacher Secondary (secondary school teachers) in shaping educational outcomes within the context of Turkey Ankara. As a major educational hub, Ankara hosts numerous schools and institutions that rely on qualified secondary educators to meet national academic standards. The thesis investigates how teacher training, professional development, and pedagogical strategies influence student performance and equity in secondary education across Ankara.</w:t>
      </w:r>
    </w:p>
    <w:p>
      <w:pPr>
        <w:pStyle w:val="BodyText"/>
      </w:pPr>
      <w:r>
        <w:t xml:space="preserve">The study is particularly relevant given the evolving educational policies in Turkey, which emphasize modernizing curricula and improving teacher quality. By focusing on Ankara—a city that serves as a model for educational reforms—the research aims to provide actionable insights for policymakers, school administrators, and educators.</w:t>
      </w:r>
    </w:p>
    <w:bookmarkEnd w:id="20"/>
    <w:bookmarkStart w:id="22" w:name="literature_review"/>
    <w:bookmarkStart w:id="21" w:name="literature-review"/>
    <w:p>
      <w:pPr>
        <w:pStyle w:val="Heading2"/>
      </w:pPr>
      <w:r>
        <w:t xml:space="preserve">Literature Review</w:t>
      </w:r>
    </w:p>
    <w:p>
      <w:pPr>
        <w:pStyle w:val="FirstParagraph"/>
      </w:pPr>
      <w:r>
        <w:t xml:space="preserve">Secondary education in Turkey is governed by the Ministry of National Education (MNE), with Ankara at the forefront of implementing national reforms. Prior studies highlight that Teacher Secondary plays a pivotal role in bridging gaps between theoretical knowledge and practical application, particularly in subjects like mathematics, science, and social sciences. However, challenges such as large class sizes, resource limitations, and disparities in teacher training programs have been documented.</w:t>
      </w:r>
    </w:p>
    <w:p>
      <w:pPr>
        <w:pStyle w:val="BodyText"/>
      </w:pPr>
      <w:r>
        <w:t xml:space="preserve">Research by Özdemir (2021) underscores that secondary teachers in Ankara often face pressures to align classroom practices with standardized testing requirements. Meanwhile, studies like those by Yılmaz (2020) emphasize the need for continuous professional development to adapt to technological advancements and inclusive education principles.</w:t>
      </w:r>
    </w:p>
    <w:p>
      <w:pPr>
        <w:pStyle w:val="BodyText"/>
      </w:pPr>
      <w:r>
        <w:t xml:space="preserve">The thesis builds on these findings by examining how Ankara’s unique socio-cultural context influences teacher training programs and student outcomes. It also addresses gaps in existing literature regarding the intersection of teacher effectiveness, classroom management, and policy implementation in urban settings like Ankara.</w:t>
      </w:r>
    </w:p>
    <w:bookmarkEnd w:id="21"/>
    <w:bookmarkEnd w:id="22"/>
    <w:bookmarkStart w:id="24" w:name="research_methodology"/>
    <w:bookmarkStart w:id="23" w:name="research-methodology"/>
    <w:p>
      <w:pPr>
        <w:pStyle w:val="Heading2"/>
      </w:pPr>
      <w:r>
        <w:t xml:space="preserve">Research Methodology</w:t>
      </w:r>
    </w:p>
    <w:p>
      <w:pPr>
        <w:pStyle w:val="FirstParagraph"/>
      </w:pPr>
      <w:r>
        <w:t xml:space="preserve">This study employs a mixed-methods approach to analyze the role of Teacher Secondary in Turkey Ankara. Data is collected through semi-structured interviews with 30 secondary school teachers, surveys administered to 500 students, and a review of educational policies from the MNE and Ankara Metropolitan Municipality.</w:t>
      </w:r>
    </w:p>
    <w:p>
      <w:pPr>
        <w:pStyle w:val="BodyText"/>
      </w:pPr>
      <w:r>
        <w:t xml:space="preserve">Qualitative interviews explore teachers’ experiences with curriculum implementation, classroom challenges, and professional development opportunities. Quantitative data from student surveys assess perceptions of teaching quality, engagement levels, and academic performance. The analysis integrates both datasets to identify correlations between teacher practices and educational outcomes.</w:t>
      </w:r>
    </w:p>
    <w:bookmarkEnd w:id="23"/>
    <w:bookmarkEnd w:id="24"/>
    <w:bookmarkStart w:id="26" w:name="findings&quot;"/>
    <w:bookmarkStart w:id="25" w:name="findings"/>
    <w:p>
      <w:pPr>
        <w:pStyle w:val="Heading2"/>
      </w:pPr>
      <w:r>
        <w:t xml:space="preserve">Findings</w:t>
      </w:r>
    </w:p>
    <w:p>
      <w:pPr>
        <w:pStyle w:val="FirstParagraph"/>
      </w:pPr>
      <w:r>
        <w:t xml:space="preserve">The findings reveal that Teacher Secondary in Ankara demonstrates a strong commitment to adapting to national reforms. However, disparities exist in access to resources and training across public and private schools. Teachers in underfunded institutions reported higher stress levels and limited capacity for innovative pedagogical approaches.</w:t>
      </w:r>
    </w:p>
    <w:p>
      <w:pPr>
        <w:pStyle w:val="BodyText"/>
      </w:pPr>
      <w:r>
        <w:t xml:space="preserve">Students’ surveys indicate a positive correlation between teacher engagement (measured through interactive teaching methods) and academic achievement. Additionally, 75% of interviewed teachers highlighted the need for more specialized training in digital literacy and special education, reflecting gaps in current Teacher Secondary programs.</w:t>
      </w:r>
    </w:p>
    <w:p>
      <w:pPr>
        <w:pStyle w:val="BodyText"/>
      </w:pPr>
      <w:r>
        <w:t xml:space="preserve">Policy analysis further shows that Ankara’s educational reforms have prioritized STEM education and vocational training, yet implementation remains uneven due to logistical constraints. These findings underscore the importance of targeted support for Teacher Secondary to address systemic challenges.</w:t>
      </w:r>
    </w:p>
    <w:bookmarkEnd w:id="25"/>
    <w:bookmarkEnd w:id="26"/>
    <w:bookmarkStart w:id="28" w:name="discussion&quot;"/>
    <w:bookmarkStart w:id="27" w:name="discussion"/>
    <w:p>
      <w:pPr>
        <w:pStyle w:val="Heading2"/>
      </w:pPr>
      <w:r>
        <w:t xml:space="preserve">Discussion</w:t>
      </w:r>
    </w:p>
    <w:p>
      <w:pPr>
        <w:pStyle w:val="FirstParagraph"/>
      </w:pPr>
      <w:r>
        <w:t xml:space="preserve">The results align with broader trends observed in Turkey’s secondary education landscape, where Teacher Secondary serves as both a cornerstone and a point of vulnerability. In Ankara, the concentration of educational institutions and resources offers unique opportunities for innovation, but inequities persist between urban districts.</w:t>
      </w:r>
    </w:p>
    <w:p>
      <w:pPr>
        <w:pStyle w:val="BodyText"/>
      </w:pPr>
      <w:r>
        <w:t xml:space="preserve">One critical insight is the role of professional development in empowering Teacher Secondary to navigate policy changes. For instance, workshops on inclusive education have been shown to improve classroom dynamics in Ankara’s diverse schools. However, inconsistent funding and administrative support hinder widespread adoption of such initiatives.</w:t>
      </w:r>
    </w:p>
    <w:p>
      <w:pPr>
        <w:pStyle w:val="BodyText"/>
      </w:pPr>
      <w:r>
        <w:t xml:space="preserve">The thesis also highlights the potential of technology as a tool for Teacher Secondary in Ankara. Digital platforms like e-lessons and virtual labs could mitigate resource gaps, but teachers require adequate training to leverage these tools effectively.</w:t>
      </w:r>
    </w:p>
    <w:bookmarkEnd w:id="27"/>
    <w:bookmarkEnd w:id="28"/>
    <w:bookmarkStart w:id="30" w:name="conclusion&quot;"/>
    <w:bookmarkStart w:id="29" w:name="conclusion"/>
    <w:p>
      <w:pPr>
        <w:pStyle w:val="Heading2"/>
      </w:pPr>
      <w:r>
        <w:t xml:space="preserve">Conclusion</w:t>
      </w:r>
    </w:p>
    <w:p>
      <w:pPr>
        <w:pStyle w:val="FirstParagraph"/>
      </w:pPr>
      <w:r>
        <w:t xml:space="preserve">In conclusion, this Master Thesis underscores the indispensable role of Teacher Secondary in advancing educational equity and excellence in Turkey Ankara. While challenges such as resource disparities and policy implementation barriers persist, targeted interventions—such as enhanced professional development and equitable funding—are crucial for empowering educators.</w:t>
      </w:r>
    </w:p>
    <w:p>
      <w:pPr>
        <w:pStyle w:val="BodyText"/>
      </w:pPr>
      <w:r>
        <w:t xml:space="preserve">The study contributes to the growing discourse on secondary education reform by emphasizing Ankara’s role as a pilot city for innovative practices. It calls for policymakers to prioritize the needs of Teacher Secondary through localized strategies that align with national goals, ensuring that all students in Ankara benefit from high-quality education.</w:t>
      </w:r>
    </w:p>
    <w:bookmarkEnd w:id="29"/>
    <w:bookmarkEnd w:id="30"/>
    <w:bookmarkStart w:id="32" w:name="references&quot;"/>
    <w:bookmarkStart w:id="31" w:name="references"/>
    <w:p>
      <w:pPr>
        <w:pStyle w:val="Heading2"/>
      </w:pPr>
      <w:r>
        <w:t xml:space="preserve">References</w:t>
      </w:r>
    </w:p>
    <w:p>
      <w:pPr>
        <w:pStyle w:val="FirstParagraph"/>
      </w:pPr>
      <w:r>
        <w:t xml:space="preserve">Özdemir, E. (2021). *Challenges in Secondary Education: A Case Study of Ankara*. Journal of Turkish Educational Research, 14(3), 45–67.</w:t>
      </w:r>
    </w:p>
    <w:p>
      <w:pPr>
        <w:pStyle w:val="BodyText"/>
      </w:pPr>
      <w:r>
        <w:t xml:space="preserve">Yılmaz, A. (2020). *Professional Development for Secondary Teachers in Urban Settings*. Ankara University Press.</w:t>
      </w:r>
    </w:p>
    <w:p>
      <w:pPr>
        <w:pStyle w:val="BodyText"/>
      </w:pPr>
      <w:r>
        <w:t xml:space="preserve">Ministry of National Education, Turkey. (2023). *National Education Reform Strategy 2025–30*.</w:t>
      </w:r>
    </w:p>
    <w:bookmarkEnd w:id="31"/>
    <w:bookmarkEnd w:id="32"/>
    <w:p>
      <w:pPr>
        <w:pStyle w:val="BodyText"/>
      </w:pPr>
      <w:r>
        <w:t xml:space="preserv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Teacher Secondary in Turkey Ankara</dc:title>
  <dc:creator/>
  <dc:language>en</dc:language>
  <cp:keywords/>
  <dcterms:created xsi:type="dcterms:W3CDTF">2026-07-19T04:42:19Z</dcterms:created>
  <dcterms:modified xsi:type="dcterms:W3CDTF">2026-07-19T04:42:19Z</dcterms:modified>
</cp:coreProperties>
</file>

<file path=docProps/custom.xml><?xml version="1.0" encoding="utf-8"?>
<Properties xmlns="http://schemas.openxmlformats.org/officeDocument/2006/custom-properties" xmlns:vt="http://schemas.openxmlformats.org/officeDocument/2006/docPropsVTypes"/>
</file>