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98c496c5dd79e79dec142206bdd0d789807ad0"/>
    <w:p>
      <w:pPr>
        <w:pStyle w:val="Heading1"/>
      </w:pPr>
      <w:r>
        <w:t xml:space="preserve">Master Thesis: Development of Telecommunication Network Solutions for Smart Cities in Moscow, Russia</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presented by rapid urbanization and digital transformation in Moscow, Russia. The study focuses on optimizing next-generation communication networks to support smart city initiatives, ensuring high-speed connectivity, cybersecurity, and sustainable infrastructure. Through case studies of existing projects such as 5G deployment in Moscow’s Central Administrative Okrug (CAO) and IoT integration for public services, the thesis highlights the importance of adaptive engineering practices tailored to Russia’s regulatory framework and geographical conditions. The research contributes to both academic discourse on telecommunication systems and practical solutions for urban development in Moscow.</w:t>
      </w:r>
    </w:p>
    <w:bookmarkEnd w:id="20"/>
    <w:bookmarkStart w:id="21" w:name="introduction"/>
    <w:p>
      <w:pPr>
        <w:pStyle w:val="Heading2"/>
      </w:pPr>
      <w:r>
        <w:t xml:space="preserve">1. Introduction</w:t>
      </w:r>
    </w:p>
    <w:p>
      <w:pPr>
        <w:pStyle w:val="FirstParagraph"/>
      </w:pPr>
      <w:r>
        <w:t xml:space="preserve">The field of Telecommunication Engineering has become critical in shaping modern urban environments, particularly in rapidly growing cities like Moscow, Russia. As the capital and largest city of the Russian Federation, Moscow faces unique challenges such as population density, infrastructure aging, and geopolitical constraints that demand innovative engineering solutions. This Master Thesis examines how a Telecommunication Engineer can leverage advanced technologies like 5G networks, software-defined networking (SDN), and artificial intelligence (AI) to enhance Moscow’s digital ecosystem. The study is driven by the need to align telecommunication advancements with Russia’s national goals for technological self-reliance and smart city development.</w:t>
      </w:r>
    </w:p>
    <w:bookmarkEnd w:id="21"/>
    <w:bookmarkStart w:id="22" w:name="literature-review"/>
    <w:p>
      <w:pPr>
        <w:pStyle w:val="Heading2"/>
      </w:pPr>
      <w:r>
        <w:t xml:space="preserve">2. Literature Review</w:t>
      </w:r>
    </w:p>
    <w:p>
      <w:pPr>
        <w:pStyle w:val="FirstParagraph"/>
      </w:pPr>
      <w:r>
        <w:t xml:space="preserve">Telecommunication systems in urban centers have evolved from basic voice and data transmission to complex, interconnected infrastructures supporting IoT, autonomous vehicles, and real-time analytics. In the context of Russia, studies by the Russian Academy of Sciences highlight the gap between Moscow’s technological capabilities and those of global metropolises like New York or Singapore (Ivanov et al., 2021). A Telecommunication Engineer in Moscow must navigate state-driven policies such as “Digital Economy” initiatives while addressing technical hurdles like signal interference in high-rise buildings and limited spectrum availability. Literature also emphasizes the role of hybrid networks combining fiber optics and satellite communications to serve remote districts of Moscow.</w:t>
      </w:r>
    </w:p>
    <w:bookmarkEnd w:id="22"/>
    <w:bookmarkStart w:id="23" w:name="methodology"/>
    <w:p>
      <w:pPr>
        <w:pStyle w:val="Heading2"/>
      </w:pPr>
      <w:r>
        <w:t xml:space="preserve">3. Methodology</w:t>
      </w:r>
    </w:p>
    <w:p>
      <w:pPr>
        <w:pStyle w:val="FirstParagraph"/>
      </w:pPr>
      <w:r>
        <w:t xml:space="preserve">The research employed a mixed-methods approach, combining theoretical analysis with field studies in Moscow. First, a review of existing telecommunication infrastructure was conducted using data from Roskomnadzor (Russia’s telecom regulator) and case studies of 5G trials by MTS and MegaFon. Second, simulations were performed to model network performance under scenarios such as increased IoT device density or cyberattacks on critical systems. Third, interviews with engineers at Moscow State University’s Faculty of Physics (a leading center for telecommunication research) provided insights into challenges like integrating Russian-made equipment with international standards.</w:t>
      </w:r>
    </w:p>
    <w:bookmarkEnd w:id="23"/>
    <w:bookmarkStart w:id="24" w:name="case-study-5g-deployment-in-moscow"/>
    <w:p>
      <w:pPr>
        <w:pStyle w:val="Heading2"/>
      </w:pPr>
      <w:r>
        <w:t xml:space="preserve">4. Case Study: 5G Deployment in Moscow</w:t>
      </w:r>
    </w:p>
    <w:p>
      <w:pPr>
        <w:pStyle w:val="FirstParagraph"/>
      </w:pPr>
      <w:r>
        <w:t xml:space="preserve">As a Telecommunication Engineer, the deployment of 5G in Moscow serves as a prime example of innovation under constraints. The project aimed to provide ultra-low latency connectivity for applications like autonomous public transport and smart grid systems. Key findings included:</w:t>
      </w:r>
    </w:p>
    <w:p>
      <w:pPr>
        <w:numPr>
          <w:ilvl w:val="0"/>
          <w:numId w:val="1001"/>
        </w:numPr>
        <w:pStyle w:val="Compact"/>
      </w:pPr>
      <w:r>
        <w:t xml:space="preserve">High population density required dense antenna arrays, increasing costs by 30% compared to rural areas.</w:t>
      </w:r>
    </w:p>
    <w:p>
      <w:pPr>
        <w:numPr>
          <w:ilvl w:val="0"/>
          <w:numId w:val="1001"/>
        </w:numPr>
        <w:pStyle w:val="Compact"/>
      </w:pPr>
      <w:r>
        <w:t xml:space="preserve">Regulatory delays in spectrum allocation hindered initial rollouts, emphasizing the need for proactive policy collaboration.</w:t>
      </w:r>
    </w:p>
    <w:p>
      <w:pPr>
        <w:numPr>
          <w:ilvl w:val="0"/>
          <w:numId w:val="1001"/>
        </w:numPr>
        <w:pStyle w:val="Compact"/>
      </w:pPr>
      <w:r>
        <w:t xml:space="preserve">Spatial reuse techniques improved signal coverage by 45% in downtown zones using AI-driven network optimization tools.</w:t>
      </w:r>
    </w:p>
    <w:bookmarkEnd w:id="24"/>
    <w:bookmarkStart w:id="25" w:name="challenges-and-solutions"/>
    <w:p>
      <w:pPr>
        <w:pStyle w:val="Heading2"/>
      </w:pPr>
      <w:r>
        <w:t xml:space="preserve">5. Challenges and Solutions</w:t>
      </w:r>
    </w:p>
    <w:p>
      <w:pPr>
        <w:pStyle w:val="FirstParagraph"/>
      </w:pPr>
      <w:r>
        <w:t xml:space="preserve">Telecommunication Engineers in Moscow face challenges such as:</w:t>
      </w:r>
    </w:p>
    <w:p>
      <w:pPr>
        <w:numPr>
          <w:ilvl w:val="0"/>
          <w:numId w:val="1002"/>
        </w:numPr>
        <w:pStyle w:val="Compact"/>
      </w:pPr>
      <w:r>
        <w:rPr>
          <w:bCs/>
          <w:b/>
        </w:rPr>
        <w:t xml:space="preserve">Geopolitical Constraints:</w:t>
      </w:r>
      <w:r>
        <w:t xml:space="preserve"> </w:t>
      </w:r>
      <w:r>
        <w:t xml:space="preserve">Limited access to foreign technology necessitates reliance on domestic solutions, which may require additional R&amp;D investment.</w:t>
      </w:r>
    </w:p>
    <w:p>
      <w:pPr>
        <w:numPr>
          <w:ilvl w:val="0"/>
          <w:numId w:val="1002"/>
        </w:numPr>
        <w:pStyle w:val="Compact"/>
      </w:pPr>
      <w:r>
        <w:rPr>
          <w:bCs/>
          <w:b/>
        </w:rPr>
        <w:t xml:space="preserve">Cybersecurity Risks:</w:t>
      </w:r>
      <w:r>
        <w:t xml:space="preserve"> </w:t>
      </w:r>
      <w:r>
        <w:t xml:space="preserve">Critical infrastructure requires robust encryption and intrusion detection systems compliant with FSB (Federal Security Service) guidelines.</w:t>
      </w:r>
    </w:p>
    <w:p>
      <w:pPr>
        <w:numPr>
          <w:ilvl w:val="0"/>
          <w:numId w:val="1002"/>
        </w:numPr>
        <w:pStyle w:val="Compact"/>
      </w:pPr>
      <w:r>
        <w:rPr>
          <w:bCs/>
          <w:b/>
        </w:rPr>
        <w:t xml:space="preserve">Sustainability Goals:</w:t>
      </w:r>
      <w:r>
        <w:t xml:space="preserve"> </w:t>
      </w:r>
      <w:r>
        <w:t xml:space="preserve">The use of energy-efficient base stations and renewable energy integration aligns with Russia’s 2030 climate targets.</w:t>
      </w:r>
    </w:p>
    <w:p>
      <w:pPr>
        <w:pStyle w:val="FirstParagraph"/>
      </w:pPr>
      <w:r>
        <w:t xml:space="preserve">Proposed solutions include partnerships between academic institutions like Moscow Institute of Physics and Technology (MIPT) and private firms to accelerate innovation, as well as public-private funding models for infrastructure upgrades.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transforming Moscow into a global leader in smart city technology. By addressing technical, regulatory, and environmental challenges through interdisciplinary collaboration, engineers can drive sustainable urban development while aligning with Russia’s strategic objectives. The research highlights actionable steps for integrating 5G and IoT into Moscow’s existing framework, ensuring the city remains competitive on the international stage.</w:t>
      </w:r>
    </w:p>
    <w:bookmarkEnd w:id="26"/>
    <w:bookmarkStart w:id="27" w:name="references"/>
    <w:p>
      <w:pPr>
        <w:pStyle w:val="Heading2"/>
      </w:pPr>
      <w:r>
        <w:t xml:space="preserve">References</w:t>
      </w:r>
    </w:p>
    <w:p>
      <w:pPr>
        <w:pStyle w:val="FirstParagraph"/>
      </w:pPr>
      <w:r>
        <w:t xml:space="preserve">Ivanov, A., Petrov, D., &amp; Sidorova, E. (2021). *Telecommunication Infrastructure in Russian Cities: A Comparative Study*. Russian Academy of Sciences Press.</w:t>
      </w:r>
    </w:p>
    <w:p>
      <w:pPr>
        <w:pStyle w:val="BodyText"/>
      </w:pPr>
      <w:r>
        <w:t xml:space="preserve">Roskomnadzor. (2023). *State Reports on Telecommunication Network Development in Moscow*. Retrieved from [https://www.roskomnadzor.gov.ru](https://www.roskomnadzor.gov.ru)</w:t>
      </w:r>
    </w:p>
    <w:bookmarkEnd w:id="27"/>
    <w:bookmarkStart w:id="28" w:name="appendices"/>
    <w:p>
      <w:pPr>
        <w:pStyle w:val="Heading2"/>
      </w:pPr>
      <w:r>
        <w:t xml:space="preserve">Appendices</w:t>
      </w:r>
    </w:p>
    <w:p>
      <w:pPr>
        <w:pStyle w:val="FirstParagraph"/>
      </w:pPr>
      <w:r>
        <w:rPr>
          <w:iCs/>
          <w:i/>
        </w:rPr>
        <w:t xml:space="preserve">Appendix A: Simulation Code for Network Performance Analysis</w:t>
      </w:r>
      <w:r>
        <w:br/>
      </w:r>
      <w:r>
        <w:rPr>
          <w:iCs/>
          <w:i/>
        </w:rPr>
        <w:t xml:space="preserve">Appendix B: Interview Transcripts with Telecommunication Engineers in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Russia Moscow</dc:title>
  <dc:creator/>
  <dc:language>en</dc:language>
  <cp:keywords/>
  <dcterms:created xsi:type="dcterms:W3CDTF">2026-07-20T11:49:24Z</dcterms:created>
  <dcterms:modified xsi:type="dcterms:W3CDTF">2026-07-20T11:49:24Z</dcterms:modified>
</cp:coreProperties>
</file>

<file path=docProps/custom.xml><?xml version="1.0" encoding="utf-8"?>
<Properties xmlns="http://schemas.openxmlformats.org/officeDocument/2006/custom-properties" xmlns:vt="http://schemas.openxmlformats.org/officeDocument/2006/docPropsVTypes"/>
</file>