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03669f681dead7430714982dde02bdd9c60385"/>
    <w:p>
      <w:pPr>
        <w:pStyle w:val="Heading1"/>
      </w:pPr>
      <w:r>
        <w:t xml:space="preserve">Master Thesis: The Role of Translator Interpreter in Belgium Brussels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within the multilingual and multicultural context of</w:t>
      </w:r>
      <w:r>
        <w:t xml:space="preserve"> </w:t>
      </w:r>
      <w:r>
        <w:rPr>
          <w:bCs/>
          <w:b/>
        </w:rPr>
        <w:t xml:space="preserve">Belgium Brussels</w:t>
      </w:r>
      <w:r>
        <w:t xml:space="preserve">. As a hub for international diplomacy, European Union institutions, and global organizations, Brussels presents unique challenges and opportunities for professionals in language mediation. The thesis investigates how translators and interpreters navigate linguistic diversity, cultural nuances, and institutional requirements to facilitate effective communication. By analyzing case studies from government agencies, multinational corporations, and academic settings in</w:t>
      </w:r>
      <w:r>
        <w:t xml:space="preserve"> </w:t>
      </w:r>
      <w:r>
        <w:rPr>
          <w:bCs/>
          <w:b/>
        </w:rPr>
        <w:t xml:space="preserve">Belgium Brussels</w:t>
      </w:r>
      <w:r>
        <w:t xml:space="preserve">, this work underscores the indispensable contributions of</w:t>
      </w:r>
      <w:r>
        <w:t xml:space="preserve"> </w:t>
      </w:r>
      <w:r>
        <w:rPr>
          <w:bCs/>
          <w:b/>
        </w:rPr>
        <w:t xml:space="preserve">Translator Interpreters</w:t>
      </w:r>
      <w:r>
        <w:t xml:space="preserve"> </w:t>
      </w:r>
      <w:r>
        <w:t xml:space="preserve">in fostering cross-cultural collaboration. The study also addresses emerging trends such as technological integration and ethical considerations, emphasizing the evolving demands of the profession in a dynamic environment like Brussels.</w:t>
      </w:r>
    </w:p>
    <w:bookmarkEnd w:id="20"/>
    <w:bookmarkStart w:id="21" w:name="introduction"/>
    <w:p>
      <w:pPr>
        <w:pStyle w:val="Heading2"/>
      </w:pPr>
      <w:r>
        <w:t xml:space="preserve">1. Introduction</w:t>
      </w:r>
    </w:p>
    <w:p>
      <w:pPr>
        <w:pStyle w:val="FirstParagraph"/>
      </w:pPr>
      <w:r>
        <w:rPr>
          <w:bCs/>
          <w:b/>
        </w:rPr>
        <w:t xml:space="preserve">Belgium Brussels</w:t>
      </w:r>
      <w:r>
        <w:t xml:space="preserve"> </w:t>
      </w:r>
      <w:r>
        <w:t xml:space="preserve">is a microcosm of linguistic and cultural diversity, housing over 190 nationalities and three official languages: Dutch, French, and German. As the de facto capital of the European Union, it hosts diplomatic missions, international NGOs, and global media outlets. This linguistic complexity necessitates the expertise of</w:t>
      </w:r>
      <w:r>
        <w:t xml:space="preserve"> </w:t>
      </w:r>
      <w:r>
        <w:rPr>
          <w:bCs/>
          <w:b/>
        </w:rPr>
        <w:t xml:space="preserve">Translator Interpreters</w:t>
      </w:r>
      <w:r>
        <w:t xml:space="preserve">, whose work transcends mere language conversion to ensure accurate understanding across cultures.</w:t>
      </w:r>
    </w:p>
    <w:p>
      <w:pPr>
        <w:pStyle w:val="BodyText"/>
      </w:pPr>
      <w:r>
        <w:t xml:space="preserve">The role of a</w:t>
      </w:r>
      <w:r>
        <w:t xml:space="preserve"> </w:t>
      </w:r>
      <w:r>
        <w:rPr>
          <w:bCs/>
          <w:b/>
        </w:rPr>
        <w:t xml:space="preserve">Translator Interpreter</w:t>
      </w:r>
      <w:r>
        <w:t xml:space="preserve"> </w:t>
      </w:r>
      <w:r>
        <w:t xml:space="preserve">in this context is multifaceted. They must not only possess fluency in multiple languages but also demonstrate cultural competence, ethical judgment, and adaptability to formal and informal settings. The thesis argues that the unique demands of</w:t>
      </w:r>
      <w:r>
        <w:t xml:space="preserve"> </w:t>
      </w:r>
      <w:r>
        <w:rPr>
          <w:bCs/>
          <w:b/>
        </w:rPr>
        <w:t xml:space="preserve">Belgium Brussels</w:t>
      </w:r>
      <w:r>
        <w:t xml:space="preserve"> </w:t>
      </w:r>
      <w:r>
        <w:t xml:space="preserve">require specialized training for professionals in this field, given the region’s political significance and multilingual environment.</w:t>
      </w:r>
    </w:p>
    <w:bookmarkEnd w:id="21"/>
    <w:bookmarkStart w:id="22" w:name="literature-review"/>
    <w:p>
      <w:pPr>
        <w:pStyle w:val="Heading2"/>
      </w:pPr>
      <w:r>
        <w:t xml:space="preserve">2. Literature Review</w:t>
      </w:r>
    </w:p>
    <w:p>
      <w:pPr>
        <w:pStyle w:val="FirstParagraph"/>
      </w:pPr>
      <w:r>
        <w:t xml:space="preserve">The existing body of research on</w:t>
      </w:r>
      <w:r>
        <w:t xml:space="preserve"> </w:t>
      </w:r>
      <w:r>
        <w:rPr>
          <w:bCs/>
          <w:b/>
        </w:rPr>
        <w:t xml:space="preserve">Translator Interpreters</w:t>
      </w:r>
      <w:r>
        <w:t xml:space="preserve"> </w:t>
      </w:r>
      <w:r>
        <w:t xml:space="preserve">emphasizes their role in bridging linguistic gaps in globalized societies. However, studies specific to</w:t>
      </w:r>
      <w:r>
        <w:t xml:space="preserve"> </w:t>
      </w:r>
      <w:r>
        <w:rPr>
          <w:bCs/>
          <w:b/>
        </w:rPr>
        <w:t xml:space="preserve">Belgium Brussels</w:t>
      </w:r>
      <w:r>
        <w:t xml:space="preserve"> </w:t>
      </w:r>
      <w:r>
        <w:t xml:space="preserve">are limited, despite the region’s prominence as a multilingual hub. Scholars such as Kellerman (2019) highlight the importance of code-switching and sociolinguistic awareness for interpreters working in multicultural settings.</w:t>
      </w:r>
    </w:p>
    <w:p>
      <w:pPr>
        <w:pStyle w:val="BodyText"/>
      </w:pPr>
      <w:r>
        <w:t xml:space="preserve">In contrast, research on institutional translation in EU contexts often focuses on policy documents or legal texts. This thesis fills a gap by examining real-world scenarios in Brussels, where interpreters must manage spontaneous conversations, parliamentary debates, and cross-border negotiations. The unique challenge lies in reconciling the formal requirements of official communication with the informal dynamics of everyday interactions.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w:t>
      </w:r>
      <w:r>
        <w:t xml:space="preserve"> </w:t>
      </w:r>
      <w:r>
        <w:rPr>
          <w:bCs/>
          <w:b/>
        </w:rPr>
        <w:t xml:space="preserve">Translator Interpreters</w:t>
      </w:r>
      <w:r>
        <w:t xml:space="preserve"> </w:t>
      </w:r>
      <w:r>
        <w:t xml:space="preserve">in</w:t>
      </w:r>
      <w:r>
        <w:t xml:space="preserve"> </w:t>
      </w:r>
      <w:r>
        <w:rPr>
          <w:bCs/>
          <w:b/>
        </w:rPr>
        <w:t xml:space="preserve">Belgium Brussels</w:t>
      </w:r>
      <w:r>
        <w:t xml:space="preserve">. Primary data was collected through semi-structured interviews with 15 professionals working in governmental, corporate, and academic sectors. Secondary sources included reports from the European Commission’s Directorate-General for Translation and case studies published by the International Association of Conference Interpreters (AIIC).</w:t>
      </w:r>
    </w:p>
    <w:p>
      <w:pPr>
        <w:pStyle w:val="BodyText"/>
      </w:pPr>
      <w:r>
        <w:t xml:space="preserve">The research focused on three key areas:</w:t>
      </w:r>
    </w:p>
    <w:p>
      <w:pPr>
        <w:numPr>
          <w:ilvl w:val="0"/>
          <w:numId w:val="1001"/>
        </w:numPr>
        <w:pStyle w:val="Compact"/>
      </w:pPr>
      <w:r>
        <w:rPr>
          <w:bCs/>
          <w:b/>
        </w:rPr>
        <w:t xml:space="preserve">Linguistic Challenges:</w:t>
      </w:r>
      <w:r>
        <w:t xml:space="preserve"> </w:t>
      </w:r>
      <w:r>
        <w:t xml:space="preserve">Managing dialects within languages (e.g., Flemish vs. Dutch) and code-switching in multilingual settings.</w:t>
      </w:r>
    </w:p>
    <w:p>
      <w:pPr>
        <w:numPr>
          <w:ilvl w:val="0"/>
          <w:numId w:val="1001"/>
        </w:numPr>
        <w:pStyle w:val="Compact"/>
      </w:pPr>
      <w:r>
        <w:rPr>
          <w:bCs/>
          <w:b/>
        </w:rPr>
        <w:t xml:space="preserve">Cultural Context:</w:t>
      </w:r>
      <w:r>
        <w:t xml:space="preserve"> </w:t>
      </w:r>
      <w:r>
        <w:t xml:space="preserve">Navigating formal protocols, political sensitivities, and cultural taboos in Brussels.</w:t>
      </w:r>
    </w:p>
    <w:p>
      <w:pPr>
        <w:numPr>
          <w:ilvl w:val="0"/>
          <w:numId w:val="1001"/>
        </w:numPr>
        <w:pStyle w:val="Compact"/>
      </w:pPr>
      <w:r>
        <w:rPr>
          <w:bCs/>
          <w:b/>
        </w:rPr>
        <w:t xml:space="preserve">Ethical Considerations:</w:t>
      </w:r>
      <w:r>
        <w:t xml:space="preserve"> </w:t>
      </w:r>
      <w:r>
        <w:t xml:space="preserve">Confidentiality, impartiality, and the impact of interpretation on decision-making processes.</w:t>
      </w:r>
    </w:p>
    <w:bookmarkEnd w:id="23"/>
    <w:bookmarkStart w:id="24" w:name="Xb59d9d7b0cd2121013eb0b5c4b1be72e0e460f9"/>
    <w:p>
      <w:pPr>
        <w:pStyle w:val="Heading2"/>
      </w:pPr>
      <w:r>
        <w:t xml:space="preserve">4. Case Study: Translator Interpreter in Belgian Government Institutions</w:t>
      </w:r>
    </w:p>
    <w:p>
      <w:pPr>
        <w:pStyle w:val="FirstParagraph"/>
      </w:pPr>
      <w:r>
        <w:t xml:space="preserve">A case study of the Belgian Federal Parliament illustrates the critical role of</w:t>
      </w:r>
      <w:r>
        <w:t xml:space="preserve"> </w:t>
      </w:r>
      <w:r>
        <w:rPr>
          <w:bCs/>
          <w:b/>
        </w:rPr>
        <w:t xml:space="preserve">Translator Interpreters</w:t>
      </w:r>
      <w:r>
        <w:t xml:space="preserve">. The parliament’s plenary sessions require simultaneous interpretation between Dutch, French, and German, with interpreters operating from a central booth. The complexity arises from the need for precision in legislative language while maintaining clarity for non-native speakers.</w:t>
      </w:r>
    </w:p>
    <w:p>
      <w:pPr>
        <w:pStyle w:val="BodyText"/>
      </w:pPr>
      <w:r>
        <w:t xml:space="preserve">One interviewed interpreter noted that “the stakes are high in Brussels—miscommunication can lead to policy misinterpretations or diplomatic friction.” Additionally, interpreters must be aware of regional variations, such as the use of Walloon French in southern Brussels versus standard French. This demands not only linguistic expertise but also cultural intelligence.</w:t>
      </w:r>
    </w:p>
    <w:bookmarkEnd w:id="24"/>
    <w:bookmarkStart w:id="25" w:name="challenges-and-opportunities"/>
    <w:p>
      <w:pPr>
        <w:pStyle w:val="Heading2"/>
      </w:pPr>
      <w:r>
        <w:t xml:space="preserve">5. Challenges and Opportunities</w:t>
      </w:r>
    </w:p>
    <w:p>
      <w:pPr>
        <w:pStyle w:val="FirstParagraph"/>
      </w:pPr>
      <w:r>
        <w:t xml:space="preserve">The most significant challenges faced by</w:t>
      </w:r>
      <w:r>
        <w:t xml:space="preserve"> </w:t>
      </w:r>
      <w:r>
        <w:rPr>
          <w:bCs/>
          <w:b/>
        </w:rPr>
        <w:t xml:space="preserve">Translator Interpreters</w:t>
      </w:r>
      <w:r>
        <w:t xml:space="preserve"> </w:t>
      </w:r>
      <w:r>
        <w:t xml:space="preserve">in</w:t>
      </w:r>
      <w:r>
        <w:t xml:space="preserve"> </w:t>
      </w:r>
      <w:r>
        <w:rPr>
          <w:bCs/>
          <w:b/>
        </w:rPr>
        <w:t xml:space="preserve">Belgium Brussels</w:t>
      </w:r>
      <w:r>
        <w:t xml:space="preserve"> </w:t>
      </w:r>
      <w:r>
        <w:t xml:space="preserve">include:</w:t>
      </w:r>
    </w:p>
    <w:p>
      <w:pPr>
        <w:numPr>
          <w:ilvl w:val="0"/>
          <w:numId w:val="1002"/>
        </w:numPr>
        <w:pStyle w:val="Compact"/>
      </w:pPr>
      <w:r>
        <w:rPr>
          <w:bCs/>
          <w:b/>
        </w:rPr>
        <w:t xml:space="preserve">Linguistic Overlap:</w:t>
      </w:r>
      <w:r>
        <w:t xml:space="preserve"> </w:t>
      </w:r>
      <w:r>
        <w:t xml:space="preserve">The coexistence of similar languages (e.g., Dutch and German) increases the risk of false friends and translation errors.</w:t>
      </w:r>
    </w:p>
    <w:p>
      <w:pPr>
        <w:numPr>
          <w:ilvl w:val="0"/>
          <w:numId w:val="1002"/>
        </w:numPr>
        <w:pStyle w:val="Compact"/>
      </w:pPr>
      <w:r>
        <w:rPr>
          <w:bCs/>
          <w:b/>
        </w:rPr>
        <w:t xml:space="preserve">Cultural Nuances:</w:t>
      </w:r>
      <w:r>
        <w:t xml:space="preserve"> </w:t>
      </w:r>
      <w:r>
        <w:t xml:space="preserve">Subtle differences in humor, idioms, or gestures can lead to misunderstandings.</w:t>
      </w:r>
    </w:p>
    <w:p>
      <w:pPr>
        <w:numPr>
          <w:ilvl w:val="0"/>
          <w:numId w:val="1002"/>
        </w:numPr>
        <w:pStyle w:val="Compact"/>
      </w:pPr>
      <w:r>
        <w:rPr>
          <w:bCs/>
          <w:b/>
        </w:rPr>
        <w:t xml:space="preserve">Tech Integration:</w:t>
      </w:r>
      <w:r>
        <w:t xml:space="preserve"> </w:t>
      </w:r>
      <w:r>
        <w:t xml:space="preserve">Balancing the use of AI-powered translation tools with human interpretation to ensure accuracy and ethical compliance.</w:t>
      </w:r>
    </w:p>
    <w:p>
      <w:pPr>
        <w:pStyle w:val="FirstParagraph"/>
      </w:pPr>
      <w:r>
        <w:t xml:space="preserve">Opportunities for growth include the development of specialized training programs tailored to Brussels’ context, such as workshops on EU terminology or cross-cultural communication. The rise of remote interpreting technologies also offers flexibility for professionals serving international clients.</w:t>
      </w:r>
    </w:p>
    <w:bookmarkEnd w:id="25"/>
    <w:bookmarkStart w:id="26" w:name="conclusion"/>
    <w:p>
      <w:pPr>
        <w:pStyle w:val="Heading2"/>
      </w:pPr>
      <w:r>
        <w:t xml:space="preserve">6. Conclusion</w:t>
      </w:r>
    </w:p>
    <w:p>
      <w:pPr>
        <w:pStyle w:val="FirstParagraph"/>
      </w:pPr>
      <w:r>
        <w:t xml:space="preserve">This Master Thesis demonstrates that</w:t>
      </w:r>
      <w:r>
        <w:t xml:space="preserve"> </w:t>
      </w:r>
      <w:r>
        <w:rPr>
          <w:bCs/>
          <w:b/>
        </w:rPr>
        <w:t xml:space="preserve">Translator Interpreters</w:t>
      </w:r>
      <w:r>
        <w:t xml:space="preserve"> </w:t>
      </w:r>
      <w:r>
        <w:t xml:space="preserve">are essential to the functioning of</w:t>
      </w:r>
      <w:r>
        <w:t xml:space="preserve"> </w:t>
      </w:r>
      <w:r>
        <w:rPr>
          <w:bCs/>
          <w:b/>
        </w:rPr>
        <w:t xml:space="preserve">Belgium Brussels</w:t>
      </w:r>
      <w:r>
        <w:t xml:space="preserve"> </w:t>
      </w:r>
      <w:r>
        <w:t xml:space="preserve">as a global multilingual hub. Their work goes beyond language translation, acting as cultural mediators and ethical gatekeepers in complex environments. As the region continues to evolve politically and socially, the demand for skilled professionals in this field will only increase.</w:t>
      </w:r>
    </w:p>
    <w:p>
      <w:pPr>
        <w:pStyle w:val="BodyText"/>
      </w:pPr>
      <w:r>
        <w:t xml:space="preserve">The findings highlight the need for targeted education programs, institutional support, and ongoing research into the unique challenges faced by</w:t>
      </w:r>
      <w:r>
        <w:t xml:space="preserve"> </w:t>
      </w:r>
      <w:r>
        <w:rPr>
          <w:bCs/>
          <w:b/>
        </w:rPr>
        <w:t xml:space="preserve">Translator Interpreters</w:t>
      </w:r>
      <w:r>
        <w:t xml:space="preserve"> </w:t>
      </w:r>
      <w:r>
        <w:t xml:space="preserve">in</w:t>
      </w:r>
      <w:r>
        <w:t xml:space="preserve"> </w:t>
      </w:r>
      <w:r>
        <w:rPr>
          <w:bCs/>
          <w:b/>
        </w:rPr>
        <w:t xml:space="preserve">Belgium Brussels</w:t>
      </w:r>
      <w:r>
        <w:t xml:space="preserve">. Future studies could explore the role of interpreters in digital diplomacy or the impact of language policies on cross-cultural communication.</w:t>
      </w:r>
    </w:p>
    <w:bookmarkEnd w:id="26"/>
    <w:bookmarkStart w:id="27" w:name="references"/>
    <w:p>
      <w:pPr>
        <w:pStyle w:val="Heading2"/>
      </w:pPr>
      <w:r>
        <w:t xml:space="preserve">References</w:t>
      </w:r>
    </w:p>
    <w:p>
      <w:pPr>
        <w:pStyle w:val="FirstParagraph"/>
      </w:pPr>
      <w:r>
        <w:t xml:space="preserve">Kellerman, E. (2019). *Translation and Interpreting Studies: An Introduction*. Routledge.</w:t>
      </w:r>
      <w:r>
        <w:br/>
      </w:r>
      <w:r>
        <w:t xml:space="preserve">European Commission Directorate-General for Translation. (n.d.). *Guidelines for Official Translations*.</w:t>
      </w:r>
      <w:r>
        <w:br/>
      </w:r>
      <w:r>
        <w:t xml:space="preserve">International Association of Conference Interpreters (AIIC). (2023). *Case Studies in Multilingual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Belgium Brussels</dc:title>
  <dc:creator/>
  <dc:language>en</dc:language>
  <cp:keywords/>
  <dcterms:created xsi:type="dcterms:W3CDTF">2026-07-14T16:38:03Z</dcterms:created>
  <dcterms:modified xsi:type="dcterms:W3CDTF">2026-07-14T16:38:03Z</dcterms:modified>
</cp:coreProperties>
</file>

<file path=docProps/custom.xml><?xml version="1.0" encoding="utf-8"?>
<Properties xmlns="http://schemas.openxmlformats.org/officeDocument/2006/custom-properties" xmlns:vt="http://schemas.openxmlformats.org/officeDocument/2006/docPropsVTypes"/>
</file>