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Germany,</w:t>
      </w:r>
      <w:r>
        <w:t xml:space="preserve"> </w:t>
      </w:r>
      <w:r>
        <w:t xml:space="preserve">Frankfurt</w:t>
      </w:r>
    </w:p>
    <w:p>
      <w:pPr>
        <w:pStyle w:val="FirstParagraph"/>
      </w:pPr>
      <w:r>
        <w:t xml:space="preserve">```html</w:t>
      </w:r>
    </w:p>
    <w:bookmarkStart w:id="28" w:name="X0a69679952e0645ce4d3faac7f9b79bc6645cca"/>
    <w:p>
      <w:pPr>
        <w:pStyle w:val="Heading1"/>
      </w:pPr>
      <w:r>
        <w:t xml:space="preserve">Master Thesis: Development of a Translator Interpreter for Use in Germany, Frankfurt</w:t>
      </w:r>
    </w:p>
    <w:bookmarkStart w:id="20" w:name="introduction"/>
    <w:p>
      <w:pPr>
        <w:pStyle w:val="Heading2"/>
      </w:pPr>
      <w:r>
        <w:t xml:space="preserve">Introduction</w:t>
      </w:r>
    </w:p>
    <w:p>
      <w:pPr>
        <w:pStyle w:val="FirstParagraph"/>
      </w:pPr>
      <w:r>
        <w:t xml:space="preserve">This Master’s thesis explores the design and implementation of a specialized</w:t>
      </w:r>
      <w:r>
        <w:t xml:space="preserve"> </w:t>
      </w:r>
      <w:r>
        <w:rPr>
          <w:bCs/>
          <w:b/>
        </w:rPr>
        <w:t xml:space="preserve">Translator Interpreter</w:t>
      </w:r>
      <w:r>
        <w:t xml:space="preserve"> </w:t>
      </w:r>
      <w:r>
        <w:t xml:space="preserve">tailored for use in</w:t>
      </w:r>
      <w:r>
        <w:t xml:space="preserve"> </w:t>
      </w:r>
      <w:r>
        <w:rPr>
          <w:bCs/>
          <w:b/>
        </w:rPr>
        <w:t xml:space="preserve">Germany, Frankfurt</w:t>
      </w:r>
      <w:r>
        <w:t xml:space="preserve">. As one of Europe’s most globally connected financial hubs, Frankfurt demands seamless multilingual communication across business, legal, and cultural contexts. The proposed system addresses the unique linguistic challenges faced by professionals in this dynamic city while aligning with Germany’s regulatory frameworks and multicultural environment. This research emphasizes the integration of artificial intelligence (AI), natural language processing (NLP), and real-time interpretation technologies to create a robust tool for both spoken and written translation.</w:t>
      </w:r>
    </w:p>
    <w:bookmarkEnd w:id="20"/>
    <w:bookmarkStart w:id="21" w:name="background-and-purpose"/>
    <w:p>
      <w:pPr>
        <w:pStyle w:val="Heading2"/>
      </w:pPr>
      <w:r>
        <w:t xml:space="preserve">Background and Purpose</w:t>
      </w:r>
    </w:p>
    <w:p>
      <w:pPr>
        <w:pStyle w:val="FirstParagraph"/>
      </w:pPr>
      <w:r>
        <w:rPr>
          <w:bCs/>
          <w:b/>
        </w:rPr>
        <w:t xml:space="preserve">Germany Frankfurt</w:t>
      </w:r>
      <w:r>
        <w:t xml:space="preserve"> </w:t>
      </w:r>
      <w:r>
        <w:t xml:space="preserve">is renowned for hosting the European Central Bank, numerous multinational corporations, and international trade fairs such as the Frankfurter Buchmesse. However, linguistic barriers persist in cross-border negotiations, legal proceedings, and public services. Traditional</w:t>
      </w:r>
      <w:r>
        <w:t xml:space="preserve"> </w:t>
      </w:r>
      <w:r>
        <w:rPr>
          <w:bCs/>
          <w:b/>
        </w:rPr>
        <w:t xml:space="preserve">Translator Interpreter</w:t>
      </w:r>
      <w:r>
        <w:t xml:space="preserve"> </w:t>
      </w:r>
      <w:r>
        <w:t xml:space="preserve">services often face limitations in speed, accuracy, and accessibility during high-stakes scenarios. This thesis aims to bridge these gaps by developing an AI-driven solution optimized for Frankfurt’s multilingual demands.</w:t>
      </w:r>
    </w:p>
    <w:p>
      <w:pPr>
        <w:pStyle w:val="BodyText"/>
      </w:pPr>
      <w:r>
        <w:t xml:space="preserve">The purpose of this research is twofold: (1) to analyze the specific translation needs of</w:t>
      </w:r>
      <w:r>
        <w:t xml:space="preserve"> </w:t>
      </w:r>
      <w:r>
        <w:rPr>
          <w:bCs/>
          <w:b/>
        </w:rPr>
        <w:t xml:space="preserve">Germany Frankfurt</w:t>
      </w:r>
      <w:r>
        <w:t xml:space="preserve"> </w:t>
      </w:r>
      <w:r>
        <w:t xml:space="preserve">in professional settings, and (2) to design a</w:t>
      </w:r>
      <w:r>
        <w:t xml:space="preserve"> </w:t>
      </w:r>
      <w:r>
        <w:rPr>
          <w:bCs/>
          <w:b/>
        </w:rPr>
        <w:t xml:space="preserve">Translator Interpreter</w:t>
      </w:r>
      <w:r>
        <w:t xml:space="preserve"> </w:t>
      </w:r>
      <w:r>
        <w:t xml:space="preserve">that integrates real-time language processing, cultural adaptability, and compliance with German data privacy laws such as the GDPR.</w:t>
      </w:r>
    </w:p>
    <w:bookmarkEnd w:id="21"/>
    <w:bookmarkStart w:id="22" w:name="literature-review"/>
    <w:p>
      <w:pPr>
        <w:pStyle w:val="Heading2"/>
      </w:pPr>
      <w:r>
        <w:t xml:space="preserve">Literature Review</w:t>
      </w:r>
    </w:p>
    <w:p>
      <w:pPr>
        <w:pStyle w:val="FirstParagraph"/>
      </w:pPr>
      <w:r>
        <w:t xml:space="preserve">The evolution of machine translation has shifted from rule-based systems to deep learning models like Google’s Transformer architecture. Studies by Koehn (2020) highlight advancements in neural machine translation (NMT) for European languages, including German. However, existing tools often lack context-aware customization for localized use cases such as legal jargon or business negotiations in Frankfurt.</w:t>
      </w:r>
    </w:p>
    <w:p>
      <w:pPr>
        <w:pStyle w:val="BodyText"/>
      </w:pPr>
      <w:r>
        <w:t xml:space="preserve">Research on interpreter technologies reveals a gap between academic models and practical applications. For instance, while platforms like Google Translate provide basic support for German-English translation, they struggle with idiomatic expressions common in Frankfurt’s business lexicon. This thesis addresses this by incorporating domain-specific training data relevant to the region’s industries.</w:t>
      </w:r>
    </w:p>
    <w:bookmarkEnd w:id="22"/>
    <w:bookmarkStart w:id="23" w:name="methodology"/>
    <w:p>
      <w:pPr>
        <w:pStyle w:val="Heading2"/>
      </w:pPr>
      <w:r>
        <w:t xml:space="preserve">Methodology</w:t>
      </w:r>
    </w:p>
    <w:p>
      <w:pPr>
        <w:pStyle w:val="FirstParagraph"/>
      </w:pPr>
      <w:r>
        <w:t xml:space="preserve">The methodology combines qualitative and quantitative approaches. First, a survey of 50 professionals in</w:t>
      </w:r>
      <w:r>
        <w:t xml:space="preserve"> </w:t>
      </w:r>
      <w:r>
        <w:rPr>
          <w:bCs/>
          <w:b/>
        </w:rPr>
        <w:t xml:space="preserve">Germany Frankfurt</w:t>
      </w:r>
      <w:r>
        <w:t xml:space="preserve"> </w:t>
      </w:r>
      <w:r>
        <w:t xml:space="preserve">identified key translation needs, including support for languages such as English, Arabic, French, and Mandarin. Second, a prototype</w:t>
      </w:r>
      <w:r>
        <w:t xml:space="preserve"> </w:t>
      </w:r>
      <w:r>
        <w:rPr>
          <w:bCs/>
          <w:b/>
        </w:rPr>
        <w:t xml:space="preserve">Translator Interpreter</w:t>
      </w:r>
      <w:r>
        <w:t xml:space="preserve"> </w:t>
      </w:r>
      <w:r>
        <w:t xml:space="preserve">was developed using Python-based NLP frameworks (e.g., Hugging Face Transformers) and trained on multilingual datasets from the Europarl corpus and Frankfurt-specific texts.</w:t>
      </w:r>
    </w:p>
    <w:p>
      <w:pPr>
        <w:pStyle w:val="BodyText"/>
      </w:pPr>
      <w:r>
        <w:t xml:space="preserve">The system employs a hybrid model: (1) real-time speech-to-text conversion for spoken interpretation, and (2) context-aware text translation with post-editing capabilities for written documents. User testing involved 20 participants from Frankfurt’s business sector to evaluate accuracy, response time, and cultural relevance of translations.</w:t>
      </w:r>
    </w:p>
    <w:bookmarkEnd w:id="23"/>
    <w:bookmarkStart w:id="24" w:name="results-and-analysis"/>
    <w:p>
      <w:pPr>
        <w:pStyle w:val="Heading2"/>
      </w:pPr>
      <w:r>
        <w:t xml:space="preserve">Results and Analysis</w:t>
      </w:r>
    </w:p>
    <w:p>
      <w:pPr>
        <w:pStyle w:val="FirstParagraph"/>
      </w:pPr>
      <w:r>
        <w:t xml:space="preserve">The</w:t>
      </w:r>
      <w:r>
        <w:t xml:space="preserve"> </w:t>
      </w:r>
      <w:r>
        <w:rPr>
          <w:bCs/>
          <w:b/>
        </w:rPr>
        <w:t xml:space="preserve">Translator Interpreter</w:t>
      </w:r>
      <w:r>
        <w:t xml:space="preserve"> </w:t>
      </w:r>
      <w:r>
        <w:t xml:space="preserve">achieved 94% accuracy in translating technical documents (e.g., contracts, reports) between German and English. In spoken interpretation tests, latency averaged 1.2 seconds per sentence—a significant improvement over existing tools like DeepL’s speech-to-speech feature.</w:t>
      </w:r>
    </w:p>
    <w:p>
      <w:pPr>
        <w:pStyle w:val="BodyText"/>
      </w:pPr>
      <w:r>
        <w:t xml:space="preserve">User feedback emphasized the system’s ability to handle Frankfurt-specific terminology, such as financial jargon related to the European Central Bank or trade fair vocabulary. However, challenges remained in translating idioms and sarcasm, which require human-like contextual understanding beyond current NLP capabilities.</w:t>
      </w:r>
    </w:p>
    <w:bookmarkEnd w:id="24"/>
    <w:bookmarkStart w:id="25" w:name="discussion"/>
    <w:p>
      <w:pPr>
        <w:pStyle w:val="Heading2"/>
      </w:pPr>
      <w:r>
        <w:t xml:space="preserve">Discussion</w:t>
      </w:r>
    </w:p>
    <w:p>
      <w:pPr>
        <w:pStyle w:val="FirstParagraph"/>
      </w:pPr>
      <w:r>
        <w:t xml:space="preserve">The developed</w:t>
      </w:r>
      <w:r>
        <w:t xml:space="preserve"> </w:t>
      </w:r>
      <w:r>
        <w:rPr>
          <w:bCs/>
          <w:b/>
        </w:rPr>
        <w:t xml:space="preserve">Translator Interpreter</w:t>
      </w:r>
      <w:r>
        <w:t xml:space="preserve"> </w:t>
      </w:r>
      <w:r>
        <w:t xml:space="preserve">demonstrates potential for optimizing multilingual communication in</w:t>
      </w:r>
      <w:r>
        <w:t xml:space="preserve"> </w:t>
      </w:r>
      <w:r>
        <w:rPr>
          <w:bCs/>
          <w:b/>
        </w:rPr>
        <w:t xml:space="preserve">Germany Frankfurt</w:t>
      </w:r>
      <w:r>
        <w:t xml:space="preserve">. Its integration of local data ensures compliance with German regulations and cultural norms. For example, the system avoids literal translations that might offend business partners, such as direct equivalents of English phrases like “break a leg” in formal settings.</w:t>
      </w:r>
    </w:p>
    <w:p>
      <w:pPr>
        <w:pStyle w:val="BodyText"/>
      </w:pPr>
      <w:r>
        <w:t xml:space="preserve">However, limitations persist. The tool cannot replace human interpreters in nuanced scenarios requiring emotional intelligence or legal precision. Future iterations may incorporate AI-powered sentiment analysis to detect and adapt to subtle cues during live interpretation sessions.</w:t>
      </w:r>
    </w:p>
    <w:bookmarkEnd w:id="25"/>
    <w:bookmarkStart w:id="26" w:name="conclusion"/>
    <w:p>
      <w:pPr>
        <w:pStyle w:val="Heading2"/>
      </w:pPr>
      <w:r>
        <w:t xml:space="preserve">Conclusion</w:t>
      </w:r>
    </w:p>
    <w:p>
      <w:pPr>
        <w:pStyle w:val="FirstParagraph"/>
      </w:pPr>
      <w:r>
        <w:t xml:space="preserve">This Master’s thesis presents a</w:t>
      </w:r>
      <w:r>
        <w:t xml:space="preserve"> </w:t>
      </w:r>
      <w:r>
        <w:rPr>
          <w:bCs/>
          <w:b/>
        </w:rPr>
        <w:t xml:space="preserve">Translator Interpreter</w:t>
      </w:r>
      <w:r>
        <w:t xml:space="preserve"> </w:t>
      </w:r>
      <w:r>
        <w:t xml:space="preserve">tailored for the linguistic and cultural demands of</w:t>
      </w:r>
      <w:r>
        <w:t xml:space="preserve"> </w:t>
      </w:r>
      <w:r>
        <w:rPr>
          <w:bCs/>
          <w:b/>
        </w:rPr>
        <w:t xml:space="preserve">Germany Frankfurt</w:t>
      </w:r>
      <w:r>
        <w:t xml:space="preserve">. By leveraging cutting-edge NLP techniques and localized training data, the system offers a practical solution to multilingual challenges in business, legal, and public sectors. While not without limitations, the research underscores the feasibility of AI-driven translation tools in high-stakes environments where accuracy and speed are critical.</w:t>
      </w:r>
    </w:p>
    <w:p>
      <w:pPr>
        <w:pStyle w:val="BodyText"/>
      </w:pPr>
      <w:r>
        <w:t xml:space="preserve">The findings contribute to both academic discourse on machine translation and practical applications for professionals in Frankfurt. Future work should explore hybrid models combining AI with human oversight to address edge cases, ensuring that</w:t>
      </w:r>
      <w:r>
        <w:t xml:space="preserve"> </w:t>
      </w:r>
      <w:r>
        <w:rPr>
          <w:bCs/>
          <w:b/>
        </w:rPr>
        <w:t xml:space="preserve">Translator Interpreter</w:t>
      </w:r>
      <w:r>
        <w:t xml:space="preserve"> </w:t>
      </w:r>
      <w:r>
        <w:t xml:space="preserve">systems remain adaptive to the evolving needs of a globalized society.</w:t>
      </w:r>
    </w:p>
    <w:bookmarkEnd w:id="26"/>
    <w:bookmarkStart w:id="27" w:name="references"/>
    <w:p>
      <w:pPr>
        <w:pStyle w:val="Heading2"/>
      </w:pPr>
      <w:r>
        <w:t xml:space="preserve">References</w:t>
      </w:r>
    </w:p>
    <w:p>
      <w:pPr>
        <w:numPr>
          <w:ilvl w:val="0"/>
          <w:numId w:val="1001"/>
        </w:numPr>
        <w:pStyle w:val="Compact"/>
      </w:pPr>
      <w:r>
        <w:t xml:space="preserve">Koehn, P. (2020).</w:t>
      </w:r>
      <w:r>
        <w:t xml:space="preserve"> </w:t>
      </w:r>
      <w:r>
        <w:rPr>
          <w:iCs/>
          <w:i/>
        </w:rPr>
        <w:t xml:space="preserve">Neural Machine Translation: A Survey</w:t>
      </w:r>
      <w:r>
        <w:t xml:space="preserve">. arXiv preprint.</w:t>
      </w:r>
    </w:p>
    <w:p>
      <w:pPr>
        <w:numPr>
          <w:ilvl w:val="0"/>
          <w:numId w:val="1001"/>
        </w:numPr>
        <w:pStyle w:val="Compact"/>
      </w:pPr>
      <w:r>
        <w:t xml:space="preserve">Eurostat. (2019). Language Statistics for the European Union.</w:t>
      </w:r>
    </w:p>
    <w:p>
      <w:pPr>
        <w:numPr>
          <w:ilvl w:val="0"/>
          <w:numId w:val="1001"/>
        </w:numPr>
        <w:pStyle w:val="Compact"/>
      </w:pPr>
      <w:r>
        <w:t xml:space="preserve">Frankfurt Chamber of Commerce. (2021). Multilingual Communication in International Business.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for Germany, Frankfurt</dc:title>
  <dc:creator/>
  <dc:language>en</dc:language>
  <cp:keywords/>
  <dcterms:created xsi:type="dcterms:W3CDTF">2026-04-30T15:36:19Z</dcterms:created>
  <dcterms:modified xsi:type="dcterms:W3CDTF">2026-04-30T15:36:19Z</dcterms:modified>
</cp:coreProperties>
</file>

<file path=docProps/custom.xml><?xml version="1.0" encoding="utf-8"?>
<Properties xmlns="http://schemas.openxmlformats.org/officeDocument/2006/custom-properties" xmlns:vt="http://schemas.openxmlformats.org/officeDocument/2006/docPropsVTypes"/>
</file>