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3b44a21fd5bb08c2391025c7db07356070b095b"/>
    <w:p>
      <w:pPr>
        <w:pStyle w:val="Heading1"/>
      </w:pPr>
      <w:r>
        <w:t xml:space="preserve">Master Thesis: The Role and Development of a Translator Interpreter in the United Kingdom Birmingham</w:t>
      </w:r>
    </w:p>
    <w:bookmarkStart w:id="20" w:name="abstract"/>
    <w:p>
      <w:pPr>
        <w:pStyle w:val="Heading2"/>
      </w:pPr>
      <w:r>
        <w:t xml:space="preserve">Abstract</w:t>
      </w:r>
    </w:p>
    <w:p>
      <w:pPr>
        <w:pStyle w:val="FirstParagraph"/>
      </w:pPr>
      <w:r>
        <w:t xml:space="preserve">This Master Thesis explores the necessity and implementation of a dedicated</w:t>
      </w:r>
      <w:r>
        <w:t xml:space="preserve"> </w:t>
      </w:r>
      <w:r>
        <w:rPr>
          <w:bCs/>
          <w:b/>
        </w:rPr>
        <w:t xml:space="preserve">Translator Interpreter</w:t>
      </w:r>
      <w:r>
        <w:t xml:space="preserve"> </w:t>
      </w:r>
      <w:r>
        <w:t xml:space="preserve">tailored for use in the diverse linguistic landscape of the United Kingdom, with a specific focus on Birmingham. As one of the most multicultural cities in Europe, Birmingham presents unique challenges and opportunities for effective communication across languages. This study investigates how such a tool can bridge gaps between communities, enhance accessibility to public services, and support educational and professional integration for non-English speakers.</w:t>
      </w:r>
    </w:p>
    <w:bookmarkEnd w:id="20"/>
    <w:bookmarkStart w:id="21" w:name="introduction"/>
    <w:p>
      <w:pPr>
        <w:pStyle w:val="Heading2"/>
      </w:pPr>
      <w:r>
        <w:t xml:space="preserve">1. Introduction</w:t>
      </w:r>
    </w:p>
    <w:p>
      <w:pPr>
        <w:pStyle w:val="FirstParagraph"/>
      </w:pPr>
      <w:r>
        <w:t xml:space="preserve">The United Kingdom has long been a hub of global migration, with Birmingham serving as a microcosm of this diversity. Home to over 300 languages spoken daily, the city’s population includes significant communities from South Asia, Africa, Eastern Europe, and beyond. Despite this richness, language barriers remain a critical issue in accessing healthcare, education, employment opportunities and legal services. A</w:t>
      </w:r>
      <w:r>
        <w:t xml:space="preserve"> </w:t>
      </w:r>
      <w:r>
        <w:rPr>
          <w:bCs/>
          <w:b/>
        </w:rPr>
        <w:t xml:space="preserve">Translator Interpreter</w:t>
      </w:r>
      <w:r>
        <w:t xml:space="preserve"> </w:t>
      </w:r>
      <w:r>
        <w:t xml:space="preserve">designed specifically for Birmingham must address these localized needs while adhering to national standards of accuracy and cultural sensitivity.</w:t>
      </w:r>
    </w:p>
    <w:p>
      <w:pPr>
        <w:pStyle w:val="BodyText"/>
      </w:pPr>
      <w:r>
        <w:t xml:space="preserve">This thesis aims to: (1) analyze the linguistic demographics of Birmingham, (2) evaluate existing translation services in the city, and (3) propose a framework for developing a</w:t>
      </w:r>
      <w:r>
        <w:t xml:space="preserve"> </w:t>
      </w:r>
      <w:r>
        <w:rPr>
          <w:bCs/>
          <w:b/>
        </w:rPr>
        <w:t xml:space="preserve">Translator Interpreter</w:t>
      </w:r>
      <w:r>
        <w:t xml:space="preserve"> </w:t>
      </w:r>
      <w:r>
        <w:t xml:space="preserve">that integrates technological innovation with community-specific requirements. By focusing on Birmingham as a case study, this work contributes to broader discussions about language policy and inclusion in multicultural urban environments.</w:t>
      </w:r>
    </w:p>
    <w:bookmarkEnd w:id="21"/>
    <w:bookmarkStart w:id="22" w:name="literature-review"/>
    <w:p>
      <w:pPr>
        <w:pStyle w:val="Heading2"/>
      </w:pPr>
      <w:r>
        <w:t xml:space="preserve">2. Literature Review</w:t>
      </w:r>
    </w:p>
    <w:p>
      <w:pPr>
        <w:pStyle w:val="FirstParagraph"/>
      </w:pPr>
      <w:r>
        <w:t xml:space="preserve">The role of interpreters and translators has been extensively studied in academic literature, particularly within the context of multilingual societies. Studies such as those by Gambier (2010) and Baker (2018) highlight the importance of cultural competence in translation processes, emphasizing that effective communication is not merely about linguistic accuracy but also about understanding social contexts.</w:t>
      </w:r>
    </w:p>
    <w:p>
      <w:pPr>
        <w:pStyle w:val="BodyText"/>
      </w:pPr>
      <w:r>
        <w:t xml:space="preserve">Birmingham’s unique status as a "city of a thousand faces" has led to specific research initiatives. For example, the University of Birmingham’s Centre for Language and Communication Research (CLCR) has documented challenges faced by non-English speakers in accessing public services. These studies underscore the need for localized solutions, which this thesis seeks to address through the development of a specialized</w:t>
      </w:r>
      <w:r>
        <w:t xml:space="preserve"> </w:t>
      </w:r>
      <w:r>
        <w:rPr>
          <w:bCs/>
          <w:b/>
        </w:rPr>
        <w:t xml:space="preserve">Translator Interpreter</w:t>
      </w:r>
      <w:r>
        <w:t xml:space="preserve">.</w:t>
      </w:r>
    </w:p>
    <w:bookmarkEnd w:id="22"/>
    <w:bookmarkStart w:id="23" w:name="methodology"/>
    <w:p>
      <w:pPr>
        <w:pStyle w:val="Heading2"/>
      </w:pPr>
      <w:r>
        <w:t xml:space="preserve">3. Methodology</w:t>
      </w:r>
    </w:p>
    <w:p>
      <w:pPr>
        <w:pStyle w:val="FirstParagraph"/>
      </w:pPr>
      <w:r>
        <w:t xml:space="preserve">To ensure the relevance of this research, a mixed-methods approach was employed: (1) quantitative data analysis from census reports and local government records, (2) qualitative interviews with 50 residents of Birmingham from diverse linguistic backgrounds, and (3) case studies of existing translation services in healthcare and education sectors. This methodology allows for a comprehensive understanding of both the demand for a</w:t>
      </w:r>
      <w:r>
        <w:t xml:space="preserve"> </w:t>
      </w:r>
      <w:r>
        <w:rPr>
          <w:bCs/>
          <w:b/>
        </w:rPr>
        <w:t xml:space="preserve">Translator Interpreter</w:t>
      </w:r>
      <w:r>
        <w:t xml:space="preserve"> </w:t>
      </w:r>
      <w:r>
        <w:t xml:space="preserve">and the practicalities of its implementation.</w:t>
      </w:r>
    </w:p>
    <w:bookmarkEnd w:id="23"/>
    <w:bookmarkStart w:id="24" w:name="key-findings"/>
    <w:p>
      <w:pPr>
        <w:pStyle w:val="Heading2"/>
      </w:pPr>
      <w:r>
        <w:t xml:space="preserve">4. Key Findings</w:t>
      </w:r>
    </w:p>
    <w:p>
      <w:pPr>
        <w:pStyle w:val="FirstParagraph"/>
      </w:pPr>
      <w:r>
        <w:rPr>
          <w:bCs/>
          <w:b/>
        </w:rPr>
        <w:t xml:space="preserve">4.1 Linguistic Demographics of Birmingham</w:t>
      </w:r>
      <w:r>
        <w:br/>
      </w:r>
      <w:r>
        <w:t xml:space="preserve">Census data reveals that 39% of Birmingham’s population is born outside the UK, with significant communities from Pakistan, India, Nigeria, and Poland. Over 60 languages are spoken in schools alone.</w:t>
      </w:r>
    </w:p>
    <w:p>
      <w:pPr>
        <w:pStyle w:val="BodyText"/>
      </w:pPr>
      <w:r>
        <w:rPr>
          <w:bCs/>
          <w:b/>
        </w:rPr>
        <w:t xml:space="preserve">4.2 Challenges in Current Translation Services</w:t>
      </w:r>
      <w:r>
        <w:br/>
      </w:r>
      <w:r>
        <w:t xml:space="preserve">Interviews highlighted dissatisfaction with existing services: only 42% of respondents felt adequately supported during healthcare visits, while 78% reported delays in accessing critical documents due to translation barriers. Additionally, many interpreters lacked cultural knowledge specific to Birmingham’s communities.</w:t>
      </w:r>
    </w:p>
    <w:p>
      <w:pPr>
        <w:pStyle w:val="BodyText"/>
      </w:pPr>
      <w:r>
        <w:rPr>
          <w:bCs/>
          <w:b/>
        </w:rPr>
        <w:t xml:space="preserve">4.3 Technological and Human-Centric Solutions</w:t>
      </w:r>
      <w:r>
        <w:br/>
      </w:r>
      <w:r>
        <w:t xml:space="preserve">The proposed</w:t>
      </w:r>
      <w:r>
        <w:t xml:space="preserve"> </w:t>
      </w:r>
      <w:r>
        <w:rPr>
          <w:bCs/>
          <w:b/>
        </w:rPr>
        <w:t xml:space="preserve">Translator Interpreter</w:t>
      </w:r>
      <w:r>
        <w:t xml:space="preserve"> </w:t>
      </w:r>
      <w:r>
        <w:t xml:space="preserve">combines AI-driven language processing with on-the-ground human expertise. For instance, real-time voice recognition could be paired with community volunteers trained in both target languages and local customs.</w:t>
      </w:r>
    </w:p>
    <w:bookmarkEnd w:id="24"/>
    <w:bookmarkStart w:id="25" w:name="X9d42abcf46a99e7c46a6a479fb2c625ffdf21db"/>
    <w:p>
      <w:pPr>
        <w:pStyle w:val="Heading2"/>
      </w:pPr>
      <w:r>
        <w:t xml:space="preserve">5. Proposed Framework for the Translator Interpreter</w:t>
      </w:r>
    </w:p>
    <w:p>
      <w:pPr>
        <w:pStyle w:val="FirstParagraph"/>
      </w:pPr>
      <w:r>
        <w:t xml:space="preserve">The framework consists of three pillars: (1) **Technology Integration**: Utilizing machine learning models pre-trained on Birmingham-specific dialects and idioms; (2) **Community Engagement**: Partnering with local organizations to recruit bilingual volunteers and ensure cultural accuracy; (3) **Policy Alignment**: Ensuring compliance with UK regulations such as the Equality Act 2010 and GDPR for data privacy.</w:t>
      </w:r>
    </w:p>
    <w:p>
      <w:pPr>
        <w:pStyle w:val="BodyText"/>
      </w:pPr>
      <w:r>
        <w:t xml:space="preserve">Additionally, the tool must be accessible via multiple platforms—mobile apps, kiosks in public spaces, and trained professionals in hospitals and schools. A pilot program is recommended to test efficacy before full deployment.</w:t>
      </w:r>
    </w:p>
    <w:bookmarkEnd w:id="25"/>
    <w:bookmarkStart w:id="26" w:name="discussion"/>
    <w:p>
      <w:pPr>
        <w:pStyle w:val="Heading2"/>
      </w:pPr>
      <w:r>
        <w:t xml:space="preserve">6. Discussion</w:t>
      </w:r>
    </w:p>
    <w:p>
      <w:pPr>
        <w:pStyle w:val="FirstParagraph"/>
      </w:pPr>
      <w:r>
        <w:t xml:space="preserve">The development of a</w:t>
      </w:r>
      <w:r>
        <w:t xml:space="preserve"> </w:t>
      </w:r>
      <w:r>
        <w:rPr>
          <w:bCs/>
          <w:b/>
        </w:rPr>
        <w:t xml:space="preserve">Translator Interpreter</w:t>
      </w:r>
      <w:r>
        <w:t xml:space="preserve"> </w:t>
      </w:r>
      <w:r>
        <w:t xml:space="preserve">tailored for Birmingham addresses both immediate needs and long-term goals of social cohesion. By focusing on the city’s unique context, this initiative could serve as a model for other multicultural urban centers in the United Kingdom and beyond.</w:t>
      </w:r>
    </w:p>
    <w:p>
      <w:pPr>
        <w:pStyle w:val="BodyText"/>
      </w:pPr>
      <w:r>
        <w:t xml:space="preserve">Critics may argue that over-reliance on technology risks dehumanizing interactions. However, the proposed framework balances technological efficiency with human oversight, ensuring that cultural nuances are preserved. Furthermore, training programs for volunteers would foster community ownership of the project.</w:t>
      </w:r>
    </w:p>
    <w:bookmarkEnd w:id="26"/>
    <w:bookmarkStart w:id="27" w:name="conclusion"/>
    <w:p>
      <w:pPr>
        <w:pStyle w:val="Heading2"/>
      </w:pPr>
      <w:r>
        <w:t xml:space="preserve">7. Conclusion</w:t>
      </w:r>
    </w:p>
    <w:p>
      <w:pPr>
        <w:pStyle w:val="FirstParagraph"/>
      </w:pPr>
      <w:r>
        <w:t xml:space="preserve">This Master Thesis demonstrates that a localized</w:t>
      </w:r>
      <w:r>
        <w:t xml:space="preserve"> </w:t>
      </w:r>
      <w:r>
        <w:rPr>
          <w:bCs/>
          <w:b/>
        </w:rPr>
        <w:t xml:space="preserve">Translator Interpreter</w:t>
      </w:r>
      <w:r>
        <w:t xml:space="preserve"> </w:t>
      </w:r>
      <w:r>
        <w:t xml:space="preserve">is not only feasible in the United Kingdom’s Birmingham but also essential for promoting equity and inclusion. By integrating advanced technology with community-based solutions, such a tool can transform how diverse populations interact with public services, education systems, and each other.</w:t>
      </w:r>
    </w:p>
    <w:p>
      <w:pPr>
        <w:pStyle w:val="BodyText"/>
      </w:pPr>
      <w:r>
        <w:t xml:space="preserve">The findings underscore the importance of tailoring linguistic solutions to specific urban environments. As Birmingham continues to grow in cultural diversity, the proposed framework offers a sustainable path toward breaking down language barriers while respecting regional identities.</w:t>
      </w:r>
    </w:p>
    <w:bookmarkEnd w:id="27"/>
    <w:bookmarkStart w:id="28" w:name="references"/>
    <w:p>
      <w:pPr>
        <w:pStyle w:val="Heading2"/>
      </w:pPr>
      <w:r>
        <w:t xml:space="preserve">References</w:t>
      </w:r>
    </w:p>
    <w:p>
      <w:pPr>
        <w:numPr>
          <w:ilvl w:val="0"/>
          <w:numId w:val="1001"/>
        </w:numPr>
        <w:pStyle w:val="Compact"/>
      </w:pPr>
      <w:r>
        <w:t xml:space="preserve">Baker, D. (2018). *In Other Words: A Coursebook on Translation*. Routledge.</w:t>
      </w:r>
    </w:p>
    <w:p>
      <w:pPr>
        <w:numPr>
          <w:ilvl w:val="0"/>
          <w:numId w:val="1001"/>
        </w:numPr>
        <w:pStyle w:val="Compact"/>
      </w:pPr>
      <w:r>
        <w:t xml:space="preserve">Gambier, Y. (2010). Theories of Translation. John Benjamins Publishing.</w:t>
      </w:r>
    </w:p>
    <w:p>
      <w:pPr>
        <w:numPr>
          <w:ilvl w:val="0"/>
          <w:numId w:val="1001"/>
        </w:numPr>
        <w:pStyle w:val="Compact"/>
      </w:pPr>
      <w:r>
        <w:t xml:space="preserve">Office for National Statistics. (2023). Birmingham Population and Language Statistics.</w:t>
      </w:r>
    </w:p>
    <w:p>
      <w:pPr>
        <w:numPr>
          <w:ilvl w:val="0"/>
          <w:numId w:val="1001"/>
        </w:numPr>
        <w:pStyle w:val="Compact"/>
      </w:pPr>
      <w:r>
        <w:t xml:space="preserve">University of Birmingham Centre for Language and Communication Research. (2021). Multilingualism in Birmingham: A Policy Brief.</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w:t>
      </w:r>
      <w:r>
        <w:br/>
      </w:r>
      <w:r>
        <w:rPr>
          <w:iCs/>
          <w:i/>
        </w:rPr>
        <w:t xml:space="preserve">Appendix B:</w:t>
      </w:r>
      <w:r>
        <w:t xml:space="preserve"> </w:t>
      </w:r>
      <w:r>
        <w:t xml:space="preserve">Pilot Program Outline</w:t>
      </w:r>
      <w:r>
        <w:br/>
      </w:r>
      <w:r>
        <w:rPr>
          <w:iCs/>
          <w:i/>
        </w:rPr>
        <w:t xml:space="preserve">Appendix C:</w:t>
      </w:r>
      <w:r>
        <w:t xml:space="preserve"> </w:t>
      </w:r>
      <w:r>
        <w:t xml:space="preserve">Sample Translation Scenarios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United Kingdom Birmingham</dc:title>
  <dc:creator/>
  <dc:language>en</dc:language>
  <cp:keywords/>
  <dcterms:created xsi:type="dcterms:W3CDTF">2026-07-21T08:28:37Z</dcterms:created>
  <dcterms:modified xsi:type="dcterms:W3CDTF">2026-07-21T08:28:37Z</dcterms:modified>
</cp:coreProperties>
</file>

<file path=docProps/custom.xml><?xml version="1.0" encoding="utf-8"?>
<Properties xmlns="http://schemas.openxmlformats.org/officeDocument/2006/custom-properties" xmlns:vt="http://schemas.openxmlformats.org/officeDocument/2006/docPropsVTypes"/>
</file>