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University</w:t>
      </w:r>
      <w:r>
        <w:t xml:space="preserve"> </w:t>
      </w:r>
      <w:r>
        <w:t xml:space="preserve">Lecturer</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28" w:name="Xa122381f6ee5bacc35ac7bee7e81ba3a5848979"/>
    <w:p>
      <w:pPr>
        <w:pStyle w:val="Heading1"/>
      </w:pPr>
      <w:r>
        <w:t xml:space="preserve">Master Thesis: The Role of University Lecturers in Promoting Educational Excellence in Saudi Arabia Riyadh</w:t>
      </w:r>
    </w:p>
    <w:p>
      <w:pPr>
        <w:pStyle w:val="FirstParagraph"/>
      </w:pPr>
      <w:r>
        <w:rPr>
          <w:bCs/>
          <w:b/>
        </w:rPr>
        <w:t xml:space="preserve">Abstract:</w:t>
      </w:r>
      <w:r>
        <w:t xml:space="preserve"> </w:t>
      </w:r>
      <w:r>
        <w:t xml:space="preserve">This Master Thesis investigates the critical role of University Lecturers in shaping academic excellence within the higher education system of Saudi Arabia, with a specific focus on Riyadh. As a hub for innovation and research, Riyadh hosts numerous universities that align with Vision 2030's educational goals. The study explores challenges faced by lecturers, strategies for fostering student engagement, and the integration of modern pedagogical practices in alignment with global standards.</w:t>
      </w:r>
    </w:p>
    <w:bookmarkStart w:id="20" w:name="introduction"/>
    <w:p>
      <w:pPr>
        <w:pStyle w:val="Heading2"/>
      </w:pPr>
      <w:r>
        <w:t xml:space="preserve">1. Introduction</w:t>
      </w:r>
    </w:p>
    <w:p>
      <w:pPr>
        <w:pStyle w:val="FirstParagraph"/>
      </w:pPr>
      <w:r>
        <w:t xml:space="preserve">Saudi Arabia’s higher education sector has undergone significant transformation in recent years, driven by Vision 2030 and the National Transformation Program (NTP). As a leading academic center, Riyadh plays a pivotal role in this evolution. University lecturers, as key stakeholders, are central to achieving these objectives. This thesis examines their contributions, challenges, and opportunities within the context of Saudi Arabia’s educational landscape.</w:t>
      </w:r>
    </w:p>
    <w:p>
      <w:pPr>
        <w:pStyle w:val="BodyText"/>
      </w:pPr>
      <w:r>
        <w:t xml:space="preserve">Riyadh is home to renowned institutions such as King Saud University (KSU), Princess Nourah Bint Abdulrahman University (PNU), and Riyadh College of Dentistry &amp; Pharmacy (RCDP). These universities serve as vital platforms for lecturers to innovate in teaching, research, and community engagement. However, the unique socio-cultural dynamics of Saudi Arabia present both opportunities and challenges for educators.</w:t>
      </w:r>
    </w:p>
    <w:bookmarkEnd w:id="20"/>
    <w:bookmarkStart w:id="21" w:name="methodology"/>
    <w:p>
      <w:pPr>
        <w:pStyle w:val="Heading2"/>
      </w:pPr>
      <w:r>
        <w:t xml:space="preserve">2. Methodology</w:t>
      </w:r>
    </w:p>
    <w:p>
      <w:pPr>
        <w:pStyle w:val="FirstParagraph"/>
      </w:pPr>
      <w:r>
        <w:t xml:space="preserve">This qualitative study employs a mixed-methods approach, combining interviews with university lecturers in Riyadh, surveys from students and faculty members, and an analysis of institutional policies. Data collection was conducted between January 2023 and June 2023, involving 50 participants across public and private universities.</w:t>
      </w:r>
    </w:p>
    <w:p>
      <w:pPr>
        <w:pStyle w:val="BodyText"/>
      </w:pPr>
      <w:r>
        <w:t xml:space="preserve">Primary data sources include structured interviews focusing on academic responsibilities, challenges in teaching, and personal experiences with educational reforms. Secondary data encompasses official reports from the Ministry of Education (MOE) and publications by the Saudi Arabian Cultural Mission (SACM). This methodology ensures a comprehensive understanding of the lecturers’ role in Riyadh’s academic ecosystem.</w:t>
      </w:r>
    </w:p>
    <w:bookmarkEnd w:id="21"/>
    <w:bookmarkStart w:id="22" w:name="X2aacc1678e169e1b03987591986ce356ccc22d6"/>
    <w:p>
      <w:pPr>
        <w:pStyle w:val="Heading2"/>
      </w:pPr>
      <w:r>
        <w:t xml:space="preserve">3. Academic Responsibilities of University Lecturers</w:t>
      </w:r>
    </w:p>
    <w:p>
      <w:pPr>
        <w:pStyle w:val="FirstParagraph"/>
      </w:pPr>
      <w:r>
        <w:t xml:space="preserve">University lecturers in Riyadh are tasked with a dual mandate: delivering high-quality education and advancing research. Their responsibilities include:</w:t>
      </w:r>
    </w:p>
    <w:p>
      <w:pPr>
        <w:numPr>
          <w:ilvl w:val="0"/>
          <w:numId w:val="1001"/>
        </w:numPr>
        <w:pStyle w:val="Compact"/>
      </w:pPr>
      <w:r>
        <w:rPr>
          <w:bCs/>
          <w:b/>
        </w:rPr>
        <w:t xml:space="preserve">Teaching:</w:t>
      </w:r>
      <w:r>
        <w:t xml:space="preserve"> </w:t>
      </w:r>
      <w:r>
        <w:t xml:space="preserve">Designing curricula that align with Vision 2030’s emphasis on STEM (Science, Technology, Engineering, and Mathematics) and digital literacy.</w:t>
      </w:r>
    </w:p>
    <w:p>
      <w:pPr>
        <w:numPr>
          <w:ilvl w:val="0"/>
          <w:numId w:val="1001"/>
        </w:numPr>
        <w:pStyle w:val="Compact"/>
      </w:pPr>
      <w:r>
        <w:rPr>
          <w:bCs/>
          <w:b/>
        </w:rPr>
        <w:t xml:space="preserve">Research:</w:t>
      </w:r>
      <w:r>
        <w:t xml:space="preserve"> </w:t>
      </w:r>
      <w:r>
        <w:t xml:space="preserve">Publishing peer-reviewed papers in international journals to enhance the global reputation of Saudi universities.</w:t>
      </w:r>
    </w:p>
    <w:p>
      <w:pPr>
        <w:numPr>
          <w:ilvl w:val="0"/>
          <w:numId w:val="1001"/>
        </w:numPr>
        <w:pStyle w:val="Compact"/>
      </w:pPr>
      <w:r>
        <w:rPr>
          <w:bCs/>
          <w:b/>
        </w:rPr>
        <w:t xml:space="preserve">Mentorship:</w:t>
      </w:r>
      <w:r>
        <w:t xml:space="preserve"> </w:t>
      </w:r>
      <w:r>
        <w:t xml:space="preserve">Guiding students in thesis writing and fostering critical thinking skills essential for future professionals.</w:t>
      </w:r>
    </w:p>
    <w:p>
      <w:pPr>
        <w:pStyle w:val="FirstParagraph"/>
      </w:pPr>
      <w:r>
        <w:t xml:space="preserve">Lecturers also engage in community outreach, such as workshops for K-12 schools and collaboration with industry partners to bridge the gap between academia and employment. These roles require adaptability, as educators navigate traditional pedagogical methods alongside modern innovations like e-learning platforms.</w:t>
      </w:r>
    </w:p>
    <w:bookmarkEnd w:id="22"/>
    <w:bookmarkStart w:id="23" w:name="challenges-faced-by-university-lecturers"/>
    <w:p>
      <w:pPr>
        <w:pStyle w:val="Heading2"/>
      </w:pPr>
      <w:r>
        <w:t xml:space="preserve">4. Challenges Faced by University Lecturers</w:t>
      </w:r>
    </w:p>
    <w:p>
      <w:pPr>
        <w:pStyle w:val="FirstParagraph"/>
      </w:pPr>
      <w:r>
        <w:t xml:space="preserve">Despite their vital role, lecturers in Riyadh encounter several challenges:</w:t>
      </w:r>
    </w:p>
    <w:p>
      <w:pPr>
        <w:numPr>
          <w:ilvl w:val="0"/>
          <w:numId w:val="1002"/>
        </w:numPr>
        <w:pStyle w:val="Compact"/>
      </w:pPr>
      <w:r>
        <w:rPr>
          <w:bCs/>
          <w:b/>
        </w:rPr>
        <w:t xml:space="preserve">Bureaucratic Hurdles:</w:t>
      </w:r>
      <w:r>
        <w:t xml:space="preserve"> </w:t>
      </w:r>
      <w:r>
        <w:t xml:space="preserve">Administrative processes for curriculum approvals and research funding can be slow, delaying academic initiatives.</w:t>
      </w:r>
    </w:p>
    <w:p>
      <w:pPr>
        <w:numPr>
          <w:ilvl w:val="0"/>
          <w:numId w:val="1002"/>
        </w:numPr>
        <w:pStyle w:val="Compact"/>
      </w:pPr>
      <w:r>
        <w:rPr>
          <w:bCs/>
          <w:b/>
        </w:rPr>
        <w:t xml:space="preserve">Resource Limitations:</w:t>
      </w:r>
      <w:r>
        <w:t xml:space="preserve"> </w:t>
      </w:r>
      <w:r>
        <w:t xml:space="preserve">Public universities often face budget constraints, affecting access to cutting-edge technology and laboratory facilities.</w:t>
      </w:r>
    </w:p>
    <w:p>
      <w:pPr>
        <w:numPr>
          <w:ilvl w:val="0"/>
          <w:numId w:val="1002"/>
        </w:numPr>
        <w:pStyle w:val="Compact"/>
      </w:pPr>
      <w:r>
        <w:rPr>
          <w:bCs/>
          <w:b/>
        </w:rPr>
        <w:t xml:space="preserve">Cultural Sensitivity:</w:t>
      </w:r>
      <w:r>
        <w:t xml:space="preserve"> </w:t>
      </w:r>
      <w:r>
        <w:t xml:space="preserve">Balancing the integration of Western educational models with Saudi cultural norms requires careful planning.</w:t>
      </w:r>
    </w:p>
    <w:p>
      <w:pPr>
        <w:pStyle w:val="FirstParagraph"/>
      </w:pPr>
      <w:r>
        <w:t xml:space="preserve">Lecturers also grapple with the pressure to meet high academic standards while maintaining student engagement. The increasing number of female students, driven by Vision 2030’s empowerment initiatives, has necessitated gender-inclusive teaching strategies and workplace inclusivity.</w:t>
      </w:r>
    </w:p>
    <w:bookmarkEnd w:id="23"/>
    <w:bookmarkStart w:id="24" w:name="X20f5c36738742b1282e93a9991ee024394298da"/>
    <w:p>
      <w:pPr>
        <w:pStyle w:val="Heading2"/>
      </w:pPr>
      <w:r>
        <w:t xml:space="preserve">5. Strategies for Success: Enhancing Lecturer Effectiveness</w:t>
      </w:r>
    </w:p>
    <w:p>
      <w:pPr>
        <w:pStyle w:val="FirstParagraph"/>
      </w:pPr>
      <w:r>
        <w:t xml:space="preserve">To address these challenges, several strategies have been proposed:</w:t>
      </w:r>
    </w:p>
    <w:p>
      <w:pPr>
        <w:numPr>
          <w:ilvl w:val="0"/>
          <w:numId w:val="1003"/>
        </w:numPr>
        <w:pStyle w:val="Compact"/>
      </w:pPr>
      <w:r>
        <w:rPr>
          <w:bCs/>
          <w:b/>
        </w:rPr>
        <w:t xml:space="preserve">Professional Development:</w:t>
      </w:r>
      <w:r>
        <w:t xml:space="preserve"> </w:t>
      </w:r>
      <w:r>
        <w:t xml:space="preserve">Encouraging participation in workshops on modern teaching methodologies and digital tools.</w:t>
      </w:r>
    </w:p>
    <w:p>
      <w:pPr>
        <w:numPr>
          <w:ilvl w:val="0"/>
          <w:numId w:val="1003"/>
        </w:numPr>
        <w:pStyle w:val="Compact"/>
      </w:pPr>
      <w:r>
        <w:rPr>
          <w:bCs/>
          <w:b/>
        </w:rPr>
        <w:t xml:space="preserve">Collaboration with International Institutions:</w:t>
      </w:r>
      <w:r>
        <w:t xml:space="preserve"> </w:t>
      </w:r>
      <w:r>
        <w:t xml:space="preserve">Partnering with universities abroad to exchange best practices and co-author research.</w:t>
      </w:r>
    </w:p>
    <w:p>
      <w:pPr>
        <w:numPr>
          <w:ilvl w:val="0"/>
          <w:numId w:val="1003"/>
        </w:numPr>
        <w:pStyle w:val="Compact"/>
      </w:pPr>
      <w:r>
        <w:rPr>
          <w:bCs/>
          <w:b/>
        </w:rPr>
        <w:t xml:space="preserve">Mentorship Programs:</w:t>
      </w:r>
      <w:r>
        <w:t xml:space="preserve"> </w:t>
      </w:r>
      <w:r>
        <w:t xml:space="preserve">Establishing peer-to-peer support systems to help lecturers navigate administrative complexities.</w:t>
      </w:r>
    </w:p>
    <w:p>
      <w:pPr>
        <w:pStyle w:val="FirstParagraph"/>
      </w:pPr>
      <w:r>
        <w:t xml:space="preserve">The use of technology, such as AI-driven learning platforms, has been highlighted as a potential solution for personalized student support. Additionally, fostering a culture of research within universities can empower lecturers to contribute meaningfully to global academic discourse.</w:t>
      </w:r>
    </w:p>
    <w:bookmarkEnd w:id="24"/>
    <w:bookmarkStart w:id="25" w:name="X81b96966d30d44370e964c6b9d520d15d8f2799"/>
    <w:p>
      <w:pPr>
        <w:pStyle w:val="Heading2"/>
      </w:pPr>
      <w:r>
        <w:t xml:space="preserve">6. Case Studies: Riyadh’s Leading Universities</w:t>
      </w:r>
    </w:p>
    <w:p>
      <w:pPr>
        <w:pStyle w:val="FirstParagraph"/>
      </w:pPr>
      <w:r>
        <w:rPr>
          <w:bCs/>
          <w:b/>
        </w:rPr>
        <w:t xml:space="preserve">King Saud University (KSU):</w:t>
      </w:r>
      <w:r>
        <w:t xml:space="preserve"> </w:t>
      </w:r>
      <w:r>
        <w:t xml:space="preserve">As Saudi Arabia’s largest university, KSU emphasizes innovation in engineering and medical sciences. Lecturers here leverage partnerships with tech giants like Microsoft to integrate AI into curricula.</w:t>
      </w:r>
    </w:p>
    <w:p>
      <w:pPr>
        <w:pStyle w:val="BodyText"/>
      </w:pPr>
      <w:r>
        <w:rPr>
          <w:bCs/>
          <w:b/>
        </w:rPr>
        <w:t xml:space="preserve">Princess Nourah Bint Abdulrahman University (PNU):</w:t>
      </w:r>
      <w:r>
        <w:t xml:space="preserve"> </w:t>
      </w:r>
      <w:r>
        <w:t xml:space="preserve">Focused on women’s education, PNU has implemented mentorship programs for female lecturers, ensuring their voices are integral to academic leadership.</w:t>
      </w:r>
    </w:p>
    <w:bookmarkEnd w:id="25"/>
    <w:bookmarkStart w:id="26" w:name="conclusion-and-recommendations"/>
    <w:p>
      <w:pPr>
        <w:pStyle w:val="Heading2"/>
      </w:pPr>
      <w:r>
        <w:t xml:space="preserve">7. Conclusion and Recommendations</w:t>
      </w:r>
    </w:p>
    <w:p>
      <w:pPr>
        <w:pStyle w:val="FirstParagraph"/>
      </w:pPr>
      <w:r>
        <w:t xml:space="preserve">The role of university lecturers in Riyadh is indispensable to the realization of Vision 2030’s educational goals. This Master Thesis underscores the need for systemic support, including increased funding for research, streamlined administrative processes, and policies that prioritize lecturer well-being.</w:t>
      </w:r>
    </w:p>
    <w:p>
      <w:pPr>
        <w:pStyle w:val="BodyText"/>
      </w:pPr>
      <w:r>
        <w:t xml:space="preserve">Recommendations include:</w:t>
      </w:r>
    </w:p>
    <w:p>
      <w:pPr>
        <w:numPr>
          <w:ilvl w:val="0"/>
          <w:numId w:val="1004"/>
        </w:numPr>
        <w:pStyle w:val="Compact"/>
      </w:pPr>
      <w:r>
        <w:t xml:space="preserve">Investing in digital infrastructure to enhance e-learning capabilities.</w:t>
      </w:r>
    </w:p>
    <w:p>
      <w:pPr>
        <w:numPr>
          <w:ilvl w:val="0"/>
          <w:numId w:val="1004"/>
        </w:numPr>
        <w:pStyle w:val="Compact"/>
      </w:pPr>
      <w:r>
        <w:t xml:space="preserve">Creating incentive programs to recognize lecturers’ contributions to both teaching and research.</w:t>
      </w:r>
    </w:p>
    <w:p>
      <w:pPr>
        <w:numPr>
          <w:ilvl w:val="0"/>
          <w:numId w:val="1004"/>
        </w:numPr>
        <w:pStyle w:val="Compact"/>
      </w:pPr>
      <w:r>
        <w:t xml:space="preserve">Fostering cross-cultural collaboration between Saudi universities and international partners.</w:t>
      </w:r>
    </w:p>
    <w:p>
      <w:pPr>
        <w:pStyle w:val="FirstParagraph"/>
      </w:pPr>
      <w:r>
        <w:t xml:space="preserve">In conclusion, the success of Saudi Arabia’s higher education system hinges on empowering its university lecturers. By addressing challenges proactively, Riyadh can emerge as a global leader in academic excellence.</w:t>
      </w:r>
    </w:p>
    <w:bookmarkEnd w:id="26"/>
    <w:bookmarkStart w:id="27" w:name="references"/>
    <w:p>
      <w:pPr>
        <w:pStyle w:val="Heading2"/>
      </w:pPr>
      <w:r>
        <w:t xml:space="preserve">References</w:t>
      </w:r>
    </w:p>
    <w:p>
      <w:pPr>
        <w:pStyle w:val="BlockText"/>
      </w:pPr>
      <w:r>
        <w:t xml:space="preserve">Mohammed Al-Faraj, "Vision 2030 and Higher Education Reform in Saudi Arabia,"</w:t>
      </w:r>
      <w:r>
        <w:t xml:space="preserve"> </w:t>
      </w:r>
      <w:r>
        <w:rPr>
          <w:iCs/>
          <w:i/>
        </w:rPr>
        <w:t xml:space="preserve">Saudi Arabian Journal of Educational Studies</w:t>
      </w:r>
      <w:r>
        <w:t xml:space="preserve">, 2021.</w:t>
      </w:r>
    </w:p>
    <w:p>
      <w:pPr>
        <w:pStyle w:val="BlockText"/>
      </w:pPr>
      <w:r>
        <w:t xml:space="preserve">Ministry of Education, Kingdom of Saudi Arabia. (2023).</w:t>
      </w:r>
      <w:r>
        <w:t xml:space="preserve"> </w:t>
      </w:r>
      <w:r>
        <w:rPr>
          <w:iCs/>
          <w:i/>
        </w:rPr>
        <w:t xml:space="preserve">National Transformation Program 2030: Educational Sector Report</w:t>
      </w:r>
      <w:r>
        <w:t xml:space="preserve">.</w:t>
      </w:r>
    </w:p>
    <w:p>
      <w:pPr>
        <w:pStyle w:val="BlockText"/>
      </w:pPr>
      <w:r>
        <w:t xml:space="preserve">King Saud University. (n.d.).</w:t>
      </w:r>
      <w:r>
        <w:t xml:space="preserve"> </w:t>
      </w:r>
      <w:r>
        <w:rPr>
          <w:iCs/>
          <w:i/>
        </w:rPr>
        <w:t xml:space="preserve">Academic Excellence Initiatives</w:t>
      </w:r>
      <w:r>
        <w:t xml:space="preserve">. Retrieved from https://www.ksu.edu.sa.</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University Lecturer in Saudi Arabia Riyadh</dc:title>
  <dc:creator/>
  <dc:language>en</dc:language>
  <cp:keywords/>
  <dcterms:created xsi:type="dcterms:W3CDTF">2026-07-22T16:48:59Z</dcterms:created>
  <dcterms:modified xsi:type="dcterms:W3CDTF">2026-07-22T16:48:59Z</dcterms:modified>
</cp:coreProperties>
</file>

<file path=docProps/custom.xml><?xml version="1.0" encoding="utf-8"?>
<Properties xmlns="http://schemas.openxmlformats.org/officeDocument/2006/custom-properties" xmlns:vt="http://schemas.openxmlformats.org/officeDocument/2006/docPropsVTypes"/>
</file>