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8" w:name="peer-review-report"/>
    <w:p>
      <w:pPr>
        <w:pStyle w:val="Heading1"/>
      </w:pPr>
      <w:r>
        <w:t xml:space="preserve">Peer Review Report</w:t>
      </w:r>
    </w:p>
    <w:p>
      <w:pPr>
        <w:pStyle w:val="FirstParagraph"/>
      </w:pPr>
      <w:r>
        <w:t xml:space="preserve">Evaluation of Academic Researcher Performance and Contribution</w:t>
      </w:r>
    </w:p>
    <w:p>
      <w:pPr>
        <w:pStyle w:val="BodyText"/>
      </w:pPr>
      <w:r>
        <w:rPr>
          <w:bCs/>
          <w:b/>
        </w:rPr>
        <w:t xml:space="preserve">Date of Review:</w:t>
      </w:r>
      <w:r>
        <w:t xml:space="preserve"> </w:t>
      </w:r>
      <w:r>
        <w:t xml:space="preserve">24 May 2024</w:t>
      </w:r>
      <w:r>
        <w:br/>
      </w:r>
      <w:r>
        <w:rPr>
          <w:bCs/>
          <w:b/>
        </w:rPr>
        <w:t xml:space="preserve">Review Cycle:</w:t>
      </w:r>
      <w:r>
        <w:t xml:space="preserve"> </w:t>
      </w:r>
      <w:r>
        <w:t xml:space="preserve">Annual Performance Assessment</w:t>
      </w:r>
    </w:p>
    <w:p>
      <w:pPr>
        <w:pStyle w:val="BodyText"/>
      </w:pPr>
      <w:r>
        <w:rPr>
          <w:bCs/>
          <w:b/>
        </w:rPr>
        <w:t xml:space="preserve">Location:</w:t>
      </w:r>
      <w:r>
        <w:t xml:space="preserve"> </w:t>
      </w:r>
      <w:r>
        <w:t xml:space="preserve">Australia Melbourne</w:t>
      </w:r>
      <w:r>
        <w:br/>
      </w:r>
      <w:r>
        <w:rPr>
          <w:bCs/>
          <w:b/>
        </w:rPr>
        <w:t xml:space="preserve">Institution:</w:t>
      </w:r>
      <w:r>
        <w:t xml:space="preserve"> </w:t>
      </w:r>
      <w:r>
        <w:t xml:space="preserve">University of Melbourne / Partner Research Institute</w:t>
      </w:r>
      <w:r>
        <w:br/>
      </w:r>
      <w:r>
        <w:rPr>
          <w:bCs/>
          <w:b/>
        </w:rPr>
        <w:t xml:space="preserve">Department:</w:t>
      </w:r>
      <w:r>
        <w:t xml:space="preserve"> </w:t>
      </w:r>
      <w:r>
        <w:t xml:space="preserve">Faculty of Science and Engineering</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subject</w:t>
      </w:r>
      <w:r>
        <w:t xml:space="preserve"> </w:t>
      </w:r>
      <w:r>
        <w:rPr>
          <w:bCs/>
          <w:b/>
        </w:rPr>
        <w:t xml:space="preserve">Academic Researcher</w:t>
      </w:r>
      <w:r>
        <w:t xml:space="preserve"> </w:t>
      </w:r>
      <w:r>
        <w:t xml:space="preserve">based on their performance, scholarly output, and professional conduct over the preceding twelve months. The assessment is conducted in strict adherence to the academic standards and ethical guidelines prevalent in</w:t>
      </w:r>
      <w:r>
        <w:t xml:space="preserve"> </w:t>
      </w:r>
      <w:r>
        <w:rPr>
          <w:bCs/>
          <w:b/>
        </w:rPr>
        <w:t xml:space="preserve">Australia Melbourne</w:t>
      </w:r>
      <w:r>
        <w:t xml:space="preserve">, reflecting the high expectations of the Victorian research sector.</w:t>
      </w:r>
    </w:p>
    <w:p>
      <w:pPr>
        <w:pStyle w:val="BodyText"/>
      </w:pPr>
      <w:r>
        <w:t xml:space="preserve">The review panel has examined the researcher's contributions to the field, their engagement with the local academic community in Melbourne, and their alignment with the institution's strategic goals. The overall consensus is that the researcher has demonstrated a high level of competence, intellectual rigour, and dedication to advancing knowledge within their discipline.</w:t>
      </w:r>
    </w:p>
    <w:bookmarkEnd w:id="20"/>
    <w:bookmarkStart w:id="21" w:name="research-output-and-scholarly-impact"/>
    <w:p>
      <w:pPr>
        <w:pStyle w:val="Heading2"/>
      </w:pPr>
      <w:r>
        <w:t xml:space="preserve">2. Research Output and Scholarly Impact</w:t>
      </w:r>
    </w:p>
    <w:p>
      <w:pPr>
        <w:pStyle w:val="FirstParagraph"/>
      </w:pPr>
      <w:r>
        <w:t xml:space="preserve">The primary metric for evaluating an</w:t>
      </w:r>
      <w:r>
        <w:t xml:space="preserve"> </w:t>
      </w:r>
      <w:r>
        <w:rPr>
          <w:bCs/>
          <w:b/>
        </w:rPr>
        <w:t xml:space="preserve">Academic Researcher</w:t>
      </w:r>
      <w:r>
        <w:t xml:space="preserve"> </w:t>
      </w:r>
      <w:r>
        <w:t xml:space="preserve">is the quality and impact of their publications. During this review period, the subject has produced a significant volume of work. The peer review panel notes the following:</w:t>
      </w:r>
    </w:p>
    <w:p>
      <w:pPr>
        <w:numPr>
          <w:ilvl w:val="0"/>
          <w:numId w:val="1001"/>
        </w:numPr>
        <w:pStyle w:val="Compact"/>
      </w:pPr>
      <w:r>
        <w:rPr>
          <w:bCs/>
          <w:b/>
        </w:rPr>
        <w:t xml:space="preserve">Publication Quality:</w:t>
      </w:r>
      <w:r>
        <w:t xml:space="preserve"> </w:t>
      </w:r>
      <w:r>
        <w:t xml:space="preserve">The researcher has published in high-impact, peer-reviewed journals indexed in Scopus and Web of Science. These publications demonstrate a deep understanding of current methodologies and theoretical frameworks.</w:t>
      </w:r>
    </w:p>
    <w:p>
      <w:pPr>
        <w:numPr>
          <w:ilvl w:val="0"/>
          <w:numId w:val="1001"/>
        </w:numPr>
        <w:pStyle w:val="Compact"/>
      </w:pPr>
      <w:r>
        <w:rPr>
          <w:bCs/>
          <w:b/>
        </w:rPr>
        <w:t xml:space="preserve">Relevance to Local Context:</w:t>
      </w:r>
      <w:r>
        <w:t xml:space="preserve"> </w:t>
      </w:r>
      <w:r>
        <w:t xml:space="preserve">Several studies have addressed issues pertinent to the Australian context, specifically focusing on environmental sustainability and urban development challenges relevant to Melbourne. This localisation of research enhances the practical applicability of the findings.</w:t>
      </w:r>
    </w:p>
    <w:p>
      <w:pPr>
        <w:numPr>
          <w:ilvl w:val="0"/>
          <w:numId w:val="1001"/>
        </w:numPr>
        <w:pStyle w:val="Compact"/>
      </w:pPr>
      <w:r>
        <w:rPr>
          <w:bCs/>
          <w:b/>
        </w:rPr>
        <w:t xml:space="preserve">Citation Metrics:</w:t>
      </w:r>
      <w:r>
        <w:t xml:space="preserve"> </w:t>
      </w:r>
      <w:r>
        <w:t xml:space="preserve">The researcher's work has garnered a steady increase in citations, indicating that their contributions are being recognised and utilised by the broader global academic community.</w:t>
      </w:r>
    </w:p>
    <w:p>
      <w:pPr>
        <w:pStyle w:val="FirstParagraph"/>
      </w:pPr>
      <w:r>
        <w:t xml:space="preserve">The</w:t>
      </w:r>
      <w:r>
        <w:t xml:space="preserve"> </w:t>
      </w:r>
      <w:r>
        <w:rPr>
          <w:bCs/>
          <w:b/>
        </w:rPr>
        <w:t xml:space="preserve">Peer Review Report</w:t>
      </w:r>
      <w:r>
        <w:t xml:space="preserve"> </w:t>
      </w:r>
      <w:r>
        <w:t xml:space="preserve">highlights that the researcher maintains a rigorous standard of data integrity and analytical precision, which is essential for maintaining the reputation of research institutions in</w:t>
      </w:r>
      <w:r>
        <w:t xml:space="preserve"> </w:t>
      </w:r>
      <w:r>
        <w:rPr>
          <w:bCs/>
          <w:b/>
        </w:rPr>
        <w:t xml:space="preserve">Australia Melbourne</w:t>
      </w:r>
      <w:r>
        <w:t xml:space="preserve">.</w:t>
      </w:r>
    </w:p>
    <w:bookmarkEnd w:id="21"/>
    <w:bookmarkStart w:id="22" w:name="grant-acquisition-and-research-funding"/>
    <w:p>
      <w:pPr>
        <w:pStyle w:val="Heading2"/>
      </w:pPr>
      <w:r>
        <w:t xml:space="preserve">3. Grant Acquisition and Research Funding</w:t>
      </w:r>
    </w:p>
    <w:p>
      <w:pPr>
        <w:pStyle w:val="FirstParagraph"/>
      </w:pPr>
      <w:r>
        <w:t xml:space="preserve">Financial sustainability is a critical component of academic research in Australia. The panel has reviewed the researcher's efforts in securing external funding.</w:t>
      </w:r>
    </w:p>
    <w:p>
      <w:pPr>
        <w:pStyle w:val="BodyText"/>
      </w:pPr>
      <w:r>
        <w:t xml:space="preserve">The</w:t>
      </w:r>
      <w:r>
        <w:t xml:space="preserve"> </w:t>
      </w:r>
      <w:r>
        <w:rPr>
          <w:bCs/>
          <w:b/>
        </w:rPr>
        <w:t xml:space="preserve">Academic Researcher</w:t>
      </w:r>
      <w:r>
        <w:t xml:space="preserve"> </w:t>
      </w:r>
      <w:r>
        <w:t xml:space="preserve">has been successful in securing competitive grants from national bodies such as the Australian Research Council (ARC) and state-level funding bodies in Victoria. This success demonstrates the researcher's ability to articulate the significance of their work to funding panels and their capacity to manage complex research projects. The ability to attract funding is a key indicator of the researcher's standing within the national academic landscape.</w:t>
      </w:r>
    </w:p>
    <w:bookmarkEnd w:id="22"/>
    <w:bookmarkStart w:id="23" w:name="collaboration-and-community-engagement"/>
    <w:p>
      <w:pPr>
        <w:pStyle w:val="Heading2"/>
      </w:pPr>
      <w:r>
        <w:t xml:space="preserve">4. Collaboration and Community Engagement</w:t>
      </w:r>
    </w:p>
    <w:p>
      <w:pPr>
        <w:pStyle w:val="FirstParagraph"/>
      </w:pPr>
      <w:r>
        <w:t xml:space="preserve">Modern research is inherently collaborative. This</w:t>
      </w:r>
      <w:r>
        <w:t xml:space="preserve"> </w:t>
      </w:r>
      <w:r>
        <w:rPr>
          <w:bCs/>
          <w:b/>
        </w:rPr>
        <w:t xml:space="preserve">Peer Review Report</w:t>
      </w:r>
      <w:r>
        <w:t xml:space="preserve"> </w:t>
      </w:r>
      <w:r>
        <w:t xml:space="preserve">assesses the researcher's ability to work effectively with colleagues both within the university and with external partners.</w:t>
      </w:r>
    </w:p>
    <w:p>
      <w:pPr>
        <w:numPr>
          <w:ilvl w:val="0"/>
          <w:numId w:val="1002"/>
        </w:numPr>
        <w:pStyle w:val="Compact"/>
      </w:pPr>
      <w:r>
        <w:rPr>
          <w:bCs/>
          <w:b/>
        </w:rPr>
        <w:t xml:space="preserve">Internal Collaboration:</w:t>
      </w:r>
      <w:r>
        <w:t xml:space="preserve"> </w:t>
      </w:r>
      <w:r>
        <w:t xml:space="preserve">The researcher has actively participated in interdisciplinary projects within the faculty, fostering a culture of knowledge sharing and innovation.</w:t>
      </w:r>
    </w:p>
    <w:p>
      <w:pPr>
        <w:numPr>
          <w:ilvl w:val="0"/>
          <w:numId w:val="1002"/>
        </w:numPr>
        <w:pStyle w:val="Compact"/>
      </w:pPr>
      <w:r>
        <w:rPr>
          <w:bCs/>
          <w:b/>
        </w:rPr>
        <w:t xml:space="preserve">External Partnerships:</w:t>
      </w:r>
      <w:r>
        <w:t xml:space="preserve"> </w:t>
      </w:r>
      <w:r>
        <w:t xml:space="preserve">The researcher has established strong links with industry partners and government agencies in Melbourne. These partnerships have facilitated the translation of academic research into real-world solutions, a priority for the Victorian government.</w:t>
      </w:r>
    </w:p>
    <w:p>
      <w:pPr>
        <w:numPr>
          <w:ilvl w:val="0"/>
          <w:numId w:val="1002"/>
        </w:numPr>
        <w:pStyle w:val="Compact"/>
      </w:pPr>
      <w:r>
        <w:rPr>
          <w:bCs/>
          <w:b/>
        </w:rPr>
        <w:t xml:space="preserve">Professional Service:</w:t>
      </w:r>
      <w:r>
        <w:t xml:space="preserve"> </w:t>
      </w:r>
      <w:r>
        <w:t xml:space="preserve">The researcher has served as a reviewer for several international journals and has presented at major conferences, including those held in Melbourne, thereby contributing to the governance and development of the discipline.</w:t>
      </w:r>
    </w:p>
    <w:bookmarkEnd w:id="23"/>
    <w:bookmarkStart w:id="24" w:name="supervision-and-mentorship"/>
    <w:p>
      <w:pPr>
        <w:pStyle w:val="Heading2"/>
      </w:pPr>
      <w:r>
        <w:t xml:space="preserve">5. Supervision and Mentorship</w:t>
      </w:r>
    </w:p>
    <w:p>
      <w:pPr>
        <w:pStyle w:val="FirstParagraph"/>
      </w:pPr>
      <w:r>
        <w:t xml:space="preserve">A vital role of an</w:t>
      </w:r>
      <w:r>
        <w:t xml:space="preserve"> </w:t>
      </w:r>
      <w:r>
        <w:rPr>
          <w:bCs/>
          <w:b/>
        </w:rPr>
        <w:t xml:space="preserve">Academic Researcher</w:t>
      </w:r>
      <w:r>
        <w:t xml:space="preserve"> </w:t>
      </w:r>
      <w:r>
        <w:t xml:space="preserve">is the supervision of postgraduate students. The panel has reviewed feedback from current and former supervisees.</w:t>
      </w:r>
    </w:p>
    <w:p>
      <w:pPr>
        <w:pStyle w:val="BodyText"/>
      </w:pPr>
      <w:r>
        <w:t xml:space="preserve">The researcher is commended for providing structured, supportive, and timely guidance to PhD and Honours students. Feedback indicates that the researcher encourages critical thinking and independence while ensuring that students adhere to the ethical standards required by Australian universities. The successful completion of several theses under their supervision is a testament to their mentorship capabilities.</w:t>
      </w:r>
    </w:p>
    <w:bookmarkEnd w:id="24"/>
    <w:bookmarkStart w:id="25" w:name="X6791cc610dabdca2d7729e72f17608ce3805386"/>
    <w:p>
      <w:pPr>
        <w:pStyle w:val="Heading2"/>
      </w:pPr>
      <w:r>
        <w:t xml:space="preserve">6. Ethical Compliance and Professional Conduct</w:t>
      </w:r>
    </w:p>
    <w:p>
      <w:pPr>
        <w:pStyle w:val="FirstParagraph"/>
      </w:pPr>
      <w:r>
        <w:t xml:space="preserve">Adherence to ethical standards is non-negotiable in the Australian research environment. This</w:t>
      </w:r>
      <w:r>
        <w:t xml:space="preserve"> </w:t>
      </w:r>
      <w:r>
        <w:rPr>
          <w:bCs/>
          <w:b/>
        </w:rPr>
        <w:t xml:space="preserve">Peer Review Report</w:t>
      </w:r>
      <w:r>
        <w:t xml:space="preserve"> </w:t>
      </w:r>
      <w:r>
        <w:t xml:space="preserve">confirms that the researcher has maintained full compliance with the National Statement on Ethical Conduct in Human Research and the Australian Code for the Responsible Conduct of Research.</w:t>
      </w:r>
    </w:p>
    <w:p>
      <w:pPr>
        <w:pStyle w:val="BodyText"/>
      </w:pPr>
      <w:r>
        <w:t xml:space="preserve">There have been no reports of misconduct, plagiarism, or data fabrication. The researcher demonstrates a commitment to open science and transparency, which aligns with the values of the academic community in</w:t>
      </w:r>
      <w:r>
        <w:t xml:space="preserve"> </w:t>
      </w:r>
      <w:r>
        <w:rPr>
          <w:bCs/>
          <w:b/>
        </w:rPr>
        <w:t xml:space="preserve">Australia Melbourne</w:t>
      </w:r>
      <w:r>
        <w:t xml:space="preserve">.</w:t>
      </w:r>
    </w:p>
    <w:bookmarkEnd w:id="25"/>
    <w:bookmarkStart w:id="26" w:name="areas-for-improvement"/>
    <w:p>
      <w:pPr>
        <w:pStyle w:val="Heading2"/>
      </w:pPr>
      <w:r>
        <w:t xml:space="preserve">7. Areas for Improvement</w:t>
      </w:r>
    </w:p>
    <w:p>
      <w:pPr>
        <w:pStyle w:val="FirstParagraph"/>
      </w:pPr>
      <w:r>
        <w:t xml:space="preserve">While the performance has been exemplary, the panel suggests the following areas for development:</w:t>
      </w:r>
    </w:p>
    <w:p>
      <w:pPr>
        <w:numPr>
          <w:ilvl w:val="0"/>
          <w:numId w:val="1003"/>
        </w:numPr>
        <w:pStyle w:val="Compact"/>
      </w:pPr>
      <w:r>
        <w:rPr>
          <w:bCs/>
          <w:b/>
        </w:rPr>
        <w:t xml:space="preserve">Public Engagement:</w:t>
      </w:r>
      <w:r>
        <w:t xml:space="preserve"> </w:t>
      </w:r>
      <w:r>
        <w:t xml:space="preserve">The researcher is encouraged to increase their visibility in public media to communicate complex research findings to a non-specialist audience, thereby enhancing the societal impact of their work.</w:t>
      </w:r>
    </w:p>
    <w:p>
      <w:pPr>
        <w:numPr>
          <w:ilvl w:val="0"/>
          <w:numId w:val="1003"/>
        </w:numPr>
        <w:pStyle w:val="Compact"/>
      </w:pPr>
      <w:r>
        <w:rPr>
          <w:bCs/>
          <w:b/>
        </w:rPr>
        <w:t xml:space="preserve">International Networking:</w:t>
      </w:r>
      <w:r>
        <w:t xml:space="preserve"> </w:t>
      </w:r>
      <w:r>
        <w:t xml:space="preserve">Expanding collaborations beyond the Australian and Asian regions to include European and North American institutions could further elevate the global profile of the researcher's work.</w:t>
      </w:r>
    </w:p>
    <w:bookmarkEnd w:id="26"/>
    <w:bookmarkStart w:id="27" w:name="final-recommendation"/>
    <w:p>
      <w:pPr>
        <w:pStyle w:val="Heading2"/>
      </w:pPr>
      <w:r>
        <w:t xml:space="preserve">8. Final Recommendation</w:t>
      </w:r>
    </w:p>
    <w:p>
      <w:pPr>
        <w:pStyle w:val="FirstParagraph"/>
      </w:pPr>
      <w:r>
        <w:rPr>
          <w:bCs/>
          <w:b/>
        </w:rPr>
        <w:t xml:space="preserve">Overall Rating: Exceeds Expectations</w:t>
      </w:r>
      <w:r>
        <w:br/>
      </w:r>
      <w:r>
        <w:t xml:space="preserve">Based on the comprehensive evaluation detailed in this</w:t>
      </w:r>
      <w:r>
        <w:t xml:space="preserve"> </w:t>
      </w:r>
      <w:r>
        <w:rPr>
          <w:bCs/>
          <w:b/>
        </w:rPr>
        <w:t xml:space="preserve">Peer Review Report</w:t>
      </w:r>
      <w:r>
        <w:t xml:space="preserve">, the panel recommends the continuation of the</w:t>
      </w:r>
      <w:r>
        <w:t xml:space="preserve"> </w:t>
      </w:r>
      <w:r>
        <w:rPr>
          <w:bCs/>
          <w:b/>
        </w:rPr>
        <w:t xml:space="preserve">Academic Researcher</w:t>
      </w:r>
      <w:r>
        <w:t xml:space="preserve">'s appointment. The researcher has made substantial contributions to the field and has upheld the high standards expected of scholars in</w:t>
      </w:r>
      <w:r>
        <w:t xml:space="preserve"> </w:t>
      </w:r>
      <w:r>
        <w:rPr>
          <w:bCs/>
          <w:b/>
        </w:rPr>
        <w:t xml:space="preserve">Australia Melbourne</w:t>
      </w:r>
      <w:r>
        <w:t xml:space="preserve">. Their work is a valuable asset to the institution and the broader research ecosystem.</w:t>
      </w:r>
    </w:p>
    <w:p>
      <w:pPr>
        <w:pStyle w:val="BodyText"/>
      </w:pPr>
      <w:r>
        <w:rPr>
          <w:bCs/>
          <w:b/>
        </w:rPr>
        <w:t xml:space="preserve">Prepared by:</w:t>
      </w:r>
      <w:r>
        <w:br/>
      </w:r>
      <w:r>
        <w:t xml:space="preserve">Dr. Sarah Jenkins</w:t>
      </w:r>
      <w:r>
        <w:br/>
      </w:r>
      <w:r>
        <w:t xml:space="preserve">Chair of the Peer Review Committee</w:t>
      </w:r>
      <w:r>
        <w:br/>
      </w:r>
      <w:r>
        <w:t xml:space="preserve">Faculty of Science</w:t>
      </w:r>
    </w:p>
    <w:p>
      <w:pPr>
        <w:pStyle w:val="BodyText"/>
      </w:pPr>
      <w:r>
        <w:t xml:space="preserve">Signature of Reviewer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2026-10-10T07:04:32Z</dcterms:created>
  <dcterms:modified xsi:type="dcterms:W3CDTF">2026-10-10T07:04:32Z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