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integrity of an Academic Researcher based in Australia, specifically within the Sydney metropolitan area. The evaluation is conducted in accordance with the standards set by Australian research institutions, including universities and research councils, to ensure the highest quality of scholarly work and adherence to ethical guidelines.</w:t>
      </w:r>
    </w:p>
    <w:p>
      <w:pPr>
        <w:pStyle w:val="BodyText"/>
      </w:pPr>
      <w:r>
        <w:t xml:space="preserve">The purpose of this report is to provide a comprehensive analysis of the researcher's activities, including their publications, grant acquisitions, collaborations, and contributions to the academic community in Sydney and beyond. This document aims to offer constructive feedback and recommendations for future development.</w:t>
      </w:r>
    </w:p>
    <w:bookmarkEnd w:id="21"/>
    <w:bookmarkStart w:id="22" w:name="research-output-and-publications"/>
    <w:p>
      <w:pPr>
        <w:pStyle w:val="Heading2"/>
      </w:pPr>
      <w:r>
        <w:t xml:space="preserve">2. Research Output and Publications</w:t>
      </w:r>
    </w:p>
    <w:p>
      <w:pPr>
        <w:pStyle w:val="FirstParagraph"/>
      </w:pPr>
      <w:r>
        <w:t xml:space="preserve">The Academic Researcher has demonstrated a strong commitment to producing high-quality research outputs. Over the past three years, they have published numerous peer-reviewed articles in reputable journals, many of which are indexed in Scopus and Web of Science. Their work spans various disciplines, reflecting a multidisciplinary approach that is highly valued in the Australian academic landscape.</w:t>
      </w:r>
    </w:p>
    <w:p>
      <w:pPr>
        <w:pStyle w:val="BodyText"/>
      </w:pPr>
      <w:r>
        <w:t xml:space="preserve">In particular, the researcher's contributions to the field of environmental science have been noteworthy. Their studies on climate change impacts in coastal regions of Sydney have provided valuable insights for policymakers and local communities. These publications have not only advanced scientific knowledge but also facilitated practical applications that benefit society.</w:t>
      </w:r>
    </w:p>
    <w:p>
      <w:pPr>
        <w:pStyle w:val="BodyText"/>
      </w:pPr>
      <w:r>
        <w:t xml:space="preserve">Furthermore, the researcher has actively participated in international conferences, presenting their findings and engaging with peers from around the world. This global engagement enhances the visibility of Australian research and fosters collaborative opportunities.</w:t>
      </w:r>
    </w:p>
    <w:bookmarkEnd w:id="22"/>
    <w:bookmarkStart w:id="23" w:name="grant-acquisition-and-funding"/>
    <w:p>
      <w:pPr>
        <w:pStyle w:val="Heading2"/>
      </w:pPr>
      <w:r>
        <w:t xml:space="preserve">3. Grant Acquisition and Funding</w:t>
      </w:r>
    </w:p>
    <w:p>
      <w:pPr>
        <w:pStyle w:val="FirstParagraph"/>
      </w:pPr>
      <w:r>
        <w:t xml:space="preserve">Securing research funding is a critical aspect of an Academic Researcher's role, and the subject of this review has shown considerable success in this area. They have been awarded several grants from prestigious organizations, including the Australian Research Council (ARC) and the National Health and Medical Research Council (NHMRC). These grants have supported innovative projects that align with national priorities and contribute to the advancement of knowledge.</w:t>
      </w:r>
    </w:p>
    <w:p>
      <w:pPr>
        <w:pStyle w:val="BodyText"/>
      </w:pPr>
      <w:r>
        <w:t xml:space="preserve">The researcher's ability to write compelling grant proposals and manage funds effectively demonstrates their professionalism and strategic thinking. Their projects often involve interdisciplinary teams, reflecting a collaborative spirit that is essential for tackling complex research challenges.</w:t>
      </w:r>
    </w:p>
    <w:bookmarkEnd w:id="23"/>
    <w:bookmarkStart w:id="24" w:name="collaboration-and-networking"/>
    <w:p>
      <w:pPr>
        <w:pStyle w:val="Heading2"/>
      </w:pPr>
      <w:r>
        <w:t xml:space="preserve">4. Collaboration and Networking</w:t>
      </w:r>
    </w:p>
    <w:p>
      <w:pPr>
        <w:pStyle w:val="FirstParagraph"/>
      </w:pPr>
      <w:r>
        <w:t xml:space="preserve">Collaboration is a cornerstone of modern research, and the Academic Researcher has excelled in building and maintaining partnerships both within Australia and internationally. They have worked closely with colleagues from various universities in Sydney, including the University of Sydney, UNSW Sydney, and Macquarie University, fostering a vibrant research community.</w:t>
      </w:r>
    </w:p>
    <w:p>
      <w:pPr>
        <w:pStyle w:val="BodyText"/>
      </w:pPr>
      <w:r>
        <w:t xml:space="preserve">Additionally, the researcher has established connections with industry partners and government agencies, facilitating the translation of research findings into practical solutions. This engagement with stakeholders outside academia is crucial for ensuring that research has real-world impact and relevance.</w:t>
      </w:r>
    </w:p>
    <w:bookmarkEnd w:id="24"/>
    <w:bookmarkStart w:id="25" w:name="teaching-and-mentoring"/>
    <w:p>
      <w:pPr>
        <w:pStyle w:val="Heading2"/>
      </w:pPr>
      <w:r>
        <w:t xml:space="preserve">5. Teaching and Mentoring</w:t>
      </w:r>
    </w:p>
    <w:p>
      <w:pPr>
        <w:pStyle w:val="FirstParagraph"/>
      </w:pPr>
      <w:r>
        <w:t xml:space="preserve">While the primary focus of this report is on research, it is important to acknowledge the Academic Researcher's contributions to teaching and mentoring. They have supervised several postgraduate students, guiding them through their research projects and helping them develop essential skills. Many of these students have gone on to successful careers in academia and industry, a testament to the researcher's dedication to education.</w:t>
      </w:r>
    </w:p>
    <w:p>
      <w:pPr>
        <w:pStyle w:val="BodyText"/>
      </w:pPr>
      <w:r>
        <w:t xml:space="preserve">The researcher has also been involved in developing new courses and curricula, ensuring that students are equipped with the knowledge and skills needed to thrive in a rapidly changing world. Their commitment to teaching excellence aligns with the broader mission of Australian universities to educate future leaders.</w:t>
      </w:r>
    </w:p>
    <w:bookmarkEnd w:id="25"/>
    <w:bookmarkStart w:id="26" w:name="X4ce211acb8b02978b825403f312638d11fa1afd"/>
    <w:p>
      <w:pPr>
        <w:pStyle w:val="Heading2"/>
      </w:pPr>
      <w:r>
        <w:t xml:space="preserve">6. Ethical Standards and Professional Conduct</w:t>
      </w:r>
    </w:p>
    <w:p>
      <w:pPr>
        <w:pStyle w:val="FirstParagraph"/>
      </w:pPr>
      <w:r>
        <w:t xml:space="preserve">Maintaining high ethical standards is paramount in academic research, and the subject of this review has consistently demonstrated integrity and professionalism. They have adhered to all relevant ethical guidelines, including those related to human subjects research, animal welfare, and data management.</w:t>
      </w:r>
    </w:p>
    <w:p>
      <w:pPr>
        <w:pStyle w:val="BodyText"/>
      </w:pPr>
      <w:r>
        <w:t xml:space="preserve">The researcher has also been transparent in their reporting of results, acknowledging limitations and potential biases. This commitment to honesty and accountability enhances the credibility of their work and contributes to the overall trust in the scientific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pursue high-impact research projects that address pressing societal challenges.</w:t>
      </w:r>
    </w:p>
    <w:p>
      <w:pPr>
        <w:numPr>
          <w:ilvl w:val="0"/>
          <w:numId w:val="1001"/>
        </w:numPr>
        <w:pStyle w:val="Compact"/>
      </w:pPr>
      <w:r>
        <w:t xml:space="preserve">Expand collaborations with international partners to further enhance the global reach of their work.</w:t>
      </w:r>
    </w:p>
    <w:p>
      <w:pPr>
        <w:numPr>
          <w:ilvl w:val="0"/>
          <w:numId w:val="1001"/>
        </w:numPr>
        <w:pStyle w:val="Compact"/>
      </w:pPr>
      <w:r>
        <w:t xml:space="preserve">Seek opportunities to mentor early-career researchers and contribute to the development of the next generation of scholars.</w:t>
      </w:r>
    </w:p>
    <w:p>
      <w:pPr>
        <w:numPr>
          <w:ilvl w:val="0"/>
          <w:numId w:val="1001"/>
        </w:numPr>
        <w:pStyle w:val="Compact"/>
      </w:pPr>
      <w:r>
        <w:t xml:space="preserve">Engage more actively with public outreach initiatives to communicate research findings to broader audiences.</w:t>
      </w:r>
    </w:p>
    <w:bookmarkEnd w:id="27"/>
    <w:bookmarkStart w:id="28" w:name="conclusion"/>
    <w:p>
      <w:pPr>
        <w:pStyle w:val="Heading2"/>
      </w:pPr>
      <w:r>
        <w:t xml:space="preserve">8. Conclusion</w:t>
      </w:r>
    </w:p>
    <w:p>
      <w:pPr>
        <w:pStyle w:val="FirstParagraph"/>
      </w:pPr>
      <w:r>
        <w:t xml:space="preserve">In conclusion, the Academic Researcher evaluated in this Peer Review Report has made significant contributions to the field of research in Australia, particularly in Sydney. Their dedication to producing high-quality work, securing funding, fostering collaborations, and maintaining ethical standards exemplifies the qualities of an outstanding scholar. With continued effort and support, they are well-positioned to make even greater impacts in the future.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