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Montreal, Quebec, Canada</w:t>
      </w:r>
    </w:p>
    <w:p>
      <w:pPr>
        <w:pStyle w:val="BodyText"/>
      </w:pPr>
      <w:r>
        <w:rPr>
          <w:bCs/>
          <w:b/>
        </w:rPr>
        <w:t xml:space="preserve">Subject:</w:t>
      </w:r>
      <w:r>
        <w:t xml:space="preserve"> </w:t>
      </w:r>
      <w:r>
        <w:t xml:space="preserve">Evaluation of Academic Researcher Performance and Contributions</w:t>
      </w:r>
    </w:p>
    <w:p>
      <w:pPr>
        <w:pStyle w:val="BodyText"/>
      </w:pPr>
      <w:r>
        <w:rPr>
          <w:bCs/>
          <w:b/>
        </w:rPr>
        <w:t xml:space="preserve">Reviewing Body:</w:t>
      </w:r>
      <w:r>
        <w:t xml:space="preserve"> </w:t>
      </w:r>
      <w:r>
        <w:t xml:space="preserve">Departmental Research Committee, University of Montreal</w:t>
      </w:r>
    </w:p>
    <w:p>
      <w:pPr>
        <w:pStyle w:val="BodyText"/>
      </w:pPr>
      <w:r>
        <w:t xml:space="preserve">1. Introduction and Scope</w:t>
      </w:r>
    </w:p>
    <w:p>
      <w:pPr>
        <w:pStyle w:val="BodyText"/>
      </w:pPr>
      <w:r>
        <w:t xml:space="preserve">This Peer Review Report serves as a comprehensive evaluation of the professional standing, research output, and academic integrity of the designated Academic Researcher. This review is conducted in accordance with the rigorous standards established by higher education institutions in Canada, specifically within the vibrant academic ecosystem of Montreal. As a global hub for artificial intelligence, neuroscience, and social sciences, Montreal demands that its researchers demonstrate not only technical proficiency but also a commitment to interdisciplinary collaboration and societal impact.</w:t>
      </w:r>
    </w:p>
    <w:p>
      <w:pPr>
        <w:pStyle w:val="BodyText"/>
      </w:pPr>
      <w:r>
        <w:t xml:space="preserve">The purpose of this document is to assess the researcher's contributions over the past review period, ensuring alignment with the strategic goals of the institution and the broader Canadian research community. The evaluation covers research quality, publication record, grant acquisition, mentorship, and ethical compliance.</w:t>
      </w:r>
    </w:p>
    <w:p>
      <w:pPr>
        <w:pStyle w:val="BodyText"/>
      </w:pPr>
      <w:r>
        <w:t xml:space="preserve">2. Research Quality and Innovation</w:t>
      </w:r>
    </w:p>
    <w:p>
      <w:pPr>
        <w:pStyle w:val="BodyText"/>
      </w:pPr>
      <w:r>
        <w:t xml:space="preserve">The Academic Researcher has demonstrated a high level of intellectual curiosity and methodological rigor. The research conducted addresses significant gaps in the current literature, contributing meaningfully to the field. In the context of Montreal's competitive research landscape, the researcher's work stands out for its innovative approach to problem-solving.</w:t>
      </w:r>
    </w:p>
    <w:p>
      <w:pPr>
        <w:pStyle w:val="BodyText"/>
      </w:pPr>
      <w:r>
        <w:t xml:space="preserve">Specifically, the methodology employed in recent projects reflects a deep understanding of contemporary analytical tools. The researcher has successfully integrated quantitative and qualitative methods, a practice highly valued in Canadian academia. The findings are robust, reproducible, and have the potential to influence policy or industry standards. The ability to navigate complex datasets and derive actionable insights is a testament to the researcher's technical expertise.</w:t>
      </w:r>
    </w:p>
    <w:p>
      <w:pPr>
        <w:pStyle w:val="BodyText"/>
      </w:pPr>
      <w:r>
        <w:t xml:space="preserve">3. Publication Record and Dissemination</w:t>
      </w:r>
    </w:p>
    <w:p>
      <w:pPr>
        <w:pStyle w:val="BodyText"/>
      </w:pPr>
      <w:r>
        <w:t xml:space="preserve">A critical component of this Peer Review Report is the assessment of the researcher's publication history. The Academic Researcher has maintained a consistent and high-quality publication record in peer-reviewed journals of international repute. The selection of journals indicates a strategic approach to disseminating knowledge to the relevant global community.</w:t>
      </w:r>
    </w:p>
    <w:p>
      <w:pPr>
        <w:pStyle w:val="BodyText"/>
      </w:pPr>
      <w:r>
        <w:t xml:space="preserve">Furthermore, the researcher actively participates in conferences hosted in Canada and abroad, presenting findings that stimulate academic discourse. The citation metrics associated with the researcher's work suggest a growing influence within the field. It is noted that the researcher adheres to open science principles, increasingly mandated by Canadian funding agencies, ensuring that research outputs are accessible to the public and fellow scholars.</w:t>
      </w:r>
    </w:p>
    <w:p>
      <w:pPr>
        <w:pStyle w:val="BodyText"/>
      </w:pPr>
      <w:r>
        <w:t xml:space="preserve">4. Grant Acquisition and Funding</w:t>
      </w:r>
    </w:p>
    <w:p>
      <w:pPr>
        <w:pStyle w:val="BodyText"/>
      </w:pPr>
      <w:r>
        <w:t xml:space="preserve">Financial sustainability is vital for any research program. The Academic Researcher has shown commendable success in securing external funding from major Canadian granting agencies, such as the Natural Sciences and Engineering Research Council of Canada (NSERC) and the Social Sciences and Humanities Research Council of Canada (SSHRC).</w:t>
      </w:r>
    </w:p>
    <w:p>
      <w:pPr>
        <w:pStyle w:val="BodyText"/>
      </w:pPr>
      <w:r>
        <w:t xml:space="preserve">The ability to craft compelling grant proposals that align with national research priorities is a key strength. Additionally, the researcher has fostered partnerships with industry stakeholders in Montreal, bridging the gap between academic theory and practical application. This collaborative funding model enhances the economic impact of the research and supports the local innovation ecosystem.</w:t>
      </w:r>
    </w:p>
    <w:p>
      <w:pPr>
        <w:pStyle w:val="BodyText"/>
      </w:pPr>
      <w:r>
        <w:t xml:space="preserve">5. Mentorship and Academic Service</w:t>
      </w:r>
    </w:p>
    <w:p>
      <w:pPr>
        <w:pStyle w:val="BodyText"/>
      </w:pPr>
      <w:r>
        <w:t xml:space="preserve">Beyond individual research achievements, the Academic Researcher plays a pivotal role in the development of the next generation of scholars. The researcher provides effective mentorship to graduate students and postdoctoral fellows, fostering an inclusive and supportive research environment. Feedback from mentees indicates that the researcher is approachable, constructive, and dedicated to their professional growth.</w:t>
      </w:r>
    </w:p>
    <w:p>
      <w:pPr>
        <w:pStyle w:val="BodyText"/>
      </w:pPr>
      <w:r>
        <w:t xml:space="preserve">In terms of service, the researcher actively contributes to the governance of the department and the university. This includes serving on ethics review boards, which is particularly important given the strict regulatory environment in Canada regarding research involving human subjects or sensitive data. The researcher also engages in peer review for external journals, thereby upholding the quality of the broader scientific literature.</w:t>
      </w:r>
    </w:p>
    <w:p>
      <w:pPr>
        <w:pStyle w:val="BodyText"/>
      </w:pPr>
      <w:r>
        <w:t xml:space="preserve">6. Ethical Compliance and Integrity</w:t>
      </w:r>
    </w:p>
    <w:p>
      <w:pPr>
        <w:pStyle w:val="BodyText"/>
      </w:pPr>
      <w:r>
        <w:t xml:space="preserve">Adherence to ethical standards is non-negotiable in Canadian academia. This Peer Review Report confirms that the Academic Researcher has maintained the highest standards of research integrity. There are no records of misconduct, plagiarism, or data fabrication. The researcher strictly follows the Tri-Council Policy Statement: Ethical Conduct for Research Involving Humans (TCPS 2), ensuring that all studies are conducted with respect for participants and societal values.</w:t>
      </w:r>
    </w:p>
    <w:p>
      <w:pPr>
        <w:pStyle w:val="BodyText"/>
      </w:pPr>
      <w:r>
        <w:t xml:space="preserve">7. Conclusion and Recommendations</w:t>
      </w:r>
    </w:p>
    <w:p>
      <w:pPr>
        <w:pStyle w:val="BodyText"/>
      </w:pPr>
      <w:r>
        <w:t xml:space="preserve">In conclusion, this evaluation finds that the Academic Researcher is a valuable asset to the institution and the Montreal research community. The researcher's work is characterized by excellence, innovation, and ethical responsibility. The contributions made to the field are significant, and the researcher's ability to secure funding and mentor students ensures the long-term viability of their research program.</w:t>
      </w:r>
    </w:p>
    <w:p>
      <w:pPr>
        <w:pStyle w:val="BodyText"/>
      </w:pPr>
      <w:r>
        <w:rPr>
          <w:bCs/>
          <w:b/>
        </w:rPr>
        <w:t xml:space="preserve">Recommendations:</w:t>
      </w:r>
    </w:p>
    <w:p>
      <w:pPr>
        <w:numPr>
          <w:ilvl w:val="0"/>
          <w:numId w:val="1001"/>
        </w:numPr>
        <w:pStyle w:val="Compact"/>
      </w:pPr>
      <w:r>
        <w:t xml:space="preserve">Continue to pursue interdisciplinary collaborations to leverage Montreal's diverse academic strengths.</w:t>
      </w:r>
    </w:p>
    <w:p>
      <w:pPr>
        <w:numPr>
          <w:ilvl w:val="0"/>
          <w:numId w:val="1001"/>
        </w:numPr>
        <w:pStyle w:val="Compact"/>
      </w:pPr>
      <w:r>
        <w:t xml:space="preserve">Expand efforts in knowledge mobilization to ensure research impacts policy and public understanding.</w:t>
      </w:r>
    </w:p>
    <w:p>
      <w:pPr>
        <w:numPr>
          <w:ilvl w:val="0"/>
          <w:numId w:val="1001"/>
        </w:numPr>
        <w:pStyle w:val="Compact"/>
      </w:pPr>
      <w:r>
        <w:t xml:space="preserve">Maintain the current trajectory of high-quality publications and grant applications.</w:t>
      </w:r>
    </w:p>
    <w:p>
      <w:pPr>
        <w:pStyle w:val="FirstParagraph"/>
      </w:pPr>
      <w:r>
        <w:t xml:space="preserve">Based on the evidence presented in this report, the reviewing committee recommends the continued support and advancement of the Academic Researcher.</w:t>
      </w:r>
    </w:p>
    <w:p>
      <w:pPr>
        <w:pStyle w:val="BodyText"/>
      </w:pPr>
      <w:r>
        <w:rPr>
          <w:bCs/>
          <w:b/>
        </w:rPr>
        <w:t xml:space="preserve">Prepared by:</w:t>
      </w:r>
    </w:p>
    <w:p>
      <w:pPr>
        <w:pStyle w:val="BodyText"/>
      </w:pPr>
      <w:r>
        <w:t xml:space="preserve">Dr. [Name of Reviewer]</w:t>
      </w:r>
    </w:p>
    <w:p>
      <w:pPr>
        <w:pStyle w:val="BodyText"/>
      </w:pPr>
      <w:r>
        <w:t xml:space="preserve">Senior Professor, Department of Research</w:t>
      </w:r>
    </w:p>
    <w:p>
      <w:pPr>
        <w:pStyle w:val="BodyText"/>
      </w:pPr>
      <w:r>
        <w:t xml:space="preserve">University of Montreal</w:t>
      </w:r>
    </w:p>
    <w:p>
      <w:pPr>
        <w:pStyle w:val="BodyText"/>
      </w:pPr>
      <w:r>
        <w:rPr>
          <w:iCs/>
          <w:i/>
        </w:rPr>
        <w:t xml:space="preserve">Signature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2026-10-10T08:50:32Z</dcterms:created>
  <dcterms:modified xsi:type="dcterms:W3CDTF">2026-10-10T08:50:32Z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