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p>
      <w:pPr>
        <w:pStyle w:val="FirstParagraph"/>
      </w:pPr>
      <w:r>
        <w:t xml:space="preserve">CONFIDENTIAL DOCUMENT</w:t>
      </w:r>
    </w:p>
    <w:bookmarkStart w:id="27" w:name="peer-review-report"/>
    <w:p>
      <w:pPr>
        <w:pStyle w:val="Heading1"/>
      </w:pPr>
      <w:r>
        <w:t xml:space="preserve">Peer Review Report</w:t>
      </w:r>
    </w:p>
    <w:p>
      <w:pPr>
        <w:pStyle w:val="FirstParagraph"/>
      </w:pPr>
      <w:r>
        <w:t xml:space="preserve">Evaluation of Academic Researcher Performance and Contributions</w:t>
      </w:r>
    </w:p>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Almaty, Kazakhstan</w:t>
      </w:r>
    </w:p>
    <w:p>
      <w:pPr>
        <w:pStyle w:val="BodyText"/>
      </w:pPr>
      <w:r>
        <w:rPr>
          <w:bCs/>
          <w:b/>
        </w:rPr>
        <w:t xml:space="preserve">Reviewing Body:</w:t>
      </w:r>
      <w:r>
        <w:t xml:space="preserve"> </w:t>
      </w:r>
      <w:r>
        <w:t xml:space="preserve">Departmental Academic Council / External Review Committee</w:t>
      </w:r>
    </w:p>
    <w:p>
      <w:pPr>
        <w:pStyle w:val="BodyText"/>
      </w:pPr>
      <w:r>
        <w:rPr>
          <w:bCs/>
          <w:b/>
        </w:rPr>
        <w:t xml:space="preserve">Subject of Review:</w:t>
      </w:r>
      <w:r>
        <w:t xml:space="preserve"> </w:t>
      </w:r>
      <w:r>
        <w:t xml:space="preserve">[Name of Academic Researcher]</w:t>
      </w:r>
    </w:p>
    <w:p>
      <w:pPr>
        <w:pStyle w:val="BodyText"/>
      </w:pPr>
      <w:r>
        <w:rPr>
          <w:bCs/>
          <w:b/>
        </w:rPr>
        <w:t xml:space="preserve">Institution:</w:t>
      </w:r>
      <w:r>
        <w:t xml:space="preserve"> </w:t>
      </w:r>
      <w:r>
        <w:t xml:space="preserve">[Name of University/Research Institute in Almaty]</w:t>
      </w:r>
    </w:p>
    <w:p>
      <w:pPr>
        <w:pStyle w:val="BodyText"/>
      </w:pPr>
      <w:r>
        <w:rPr>
          <w:bCs/>
          <w:b/>
        </w:rPr>
        <w:t xml:space="preserve">Review Period:</w:t>
      </w:r>
      <w:r>
        <w:t xml:space="preserve"> </w:t>
      </w:r>
      <w:r>
        <w:t xml:space="preserve">January 1, 2023 – September 30, 2023</w:t>
      </w:r>
    </w:p>
    <w:bookmarkStart w:id="20" w:name="introduction-and-scope-of-review"/>
    <w:p>
      <w:pPr>
        <w:pStyle w:val="Heading2"/>
      </w:pPr>
      <w:r>
        <w:t xml:space="preserve">1. Introduction and Scope of Review</w:t>
      </w:r>
    </w:p>
    <w:p>
      <w:pPr>
        <w:pStyle w:val="FirstParagraph"/>
      </w:pPr>
      <w:r>
        <w:t xml:space="preserve">This Peer Review Report serves as a formal evaluation of the professional activities, scientific output, and academic integrity of the designated Academic Researcher. Conducted within the context of the higher education and scientific landscape in Almaty, Kazakhstan, this review aligns with the national standards set by the Ministry of Science and Higher Education of the Republic of Kazakhstan. The primary objective is to assess the researcher's contribution to the advancement of knowledge, their adherence to ethical standards, and their impact on the local and international academic community.</w:t>
      </w:r>
    </w:p>
    <w:p>
      <w:pPr>
        <w:pStyle w:val="BodyText"/>
      </w:pPr>
      <w:r>
        <w:t xml:space="preserve">Almaty has emerged as a significant hub for scientific innovation in Central Asia. Consequently, the expectations for an Academic Researcher operating in this region are high. This report evaluates whether the subject meets these rigorous standards, specifically focusing on their ability to integrate local research priorities—such as sustainable development, digital transformation, and regional economics—with global scientific discourse.</w:t>
      </w:r>
    </w:p>
    <w:bookmarkEnd w:id="20"/>
    <w:bookmarkStart w:id="21" w:name="scientific-output-and-publications"/>
    <w:p>
      <w:pPr>
        <w:pStyle w:val="Heading2"/>
      </w:pPr>
      <w:r>
        <w:t xml:space="preserve">2. Scientific Output and Publications</w:t>
      </w:r>
    </w:p>
    <w:p>
      <w:pPr>
        <w:pStyle w:val="FirstParagraph"/>
      </w:pPr>
      <w:r>
        <w:t xml:space="preserve">The core metric for this Peer Review Report is the quality and quantity of the Academic Researcher's publications. During the review period, the researcher demonstrated a robust commitment to disseminating findings. The evaluation committee analyzed publications indexed in Scopus, Web of Science, and local Kazakhstani repositories.</w:t>
      </w:r>
    </w:p>
    <w:p>
      <w:pPr>
        <w:pStyle w:val="BodyText"/>
      </w:pPr>
      <w:r>
        <w:rPr>
          <w:bCs/>
          <w:b/>
        </w:rPr>
        <w:t xml:space="preserve">Key Observations:</w:t>
      </w:r>
    </w:p>
    <w:p>
      <w:pPr>
        <w:numPr>
          <w:ilvl w:val="0"/>
          <w:numId w:val="1001"/>
        </w:numPr>
        <w:pStyle w:val="Compact"/>
      </w:pPr>
      <w:r>
        <w:rPr>
          <w:bCs/>
          <w:b/>
        </w:rPr>
        <w:t xml:space="preserve">International Visibility:</w:t>
      </w:r>
      <w:r>
        <w:t xml:space="preserve"> </w:t>
      </w:r>
      <w:r>
        <w:t xml:space="preserve">The researcher has successfully published in high-impact international journals, enhancing the visibility of Almaty-based research on the global stage.</w:t>
      </w:r>
    </w:p>
    <w:p>
      <w:pPr>
        <w:numPr>
          <w:ilvl w:val="0"/>
          <w:numId w:val="1001"/>
        </w:numPr>
        <w:pStyle w:val="Compact"/>
      </w:pPr>
      <w:r>
        <w:rPr>
          <w:bCs/>
          <w:b/>
        </w:rPr>
        <w:t xml:space="preserve">Local Relevance:</w:t>
      </w:r>
      <w:r>
        <w:t xml:space="preserve"> </w:t>
      </w:r>
      <w:r>
        <w:t xml:space="preserve">There is a commendable effort to address issues pertinent to Kazakhstan, ensuring that the research is not only theoretically sound but also practically applicable to the region's socio-economic needs.</w:t>
      </w:r>
    </w:p>
    <w:p>
      <w:pPr>
        <w:numPr>
          <w:ilvl w:val="0"/>
          <w:numId w:val="1001"/>
        </w:numPr>
        <w:pStyle w:val="Compact"/>
      </w:pPr>
      <w:r>
        <w:rPr>
          <w:bCs/>
          <w:b/>
        </w:rPr>
        <w:t xml:space="preserve">Citation Impact:</w:t>
      </w:r>
      <w:r>
        <w:t xml:space="preserve"> </w:t>
      </w:r>
      <w:r>
        <w:t xml:space="preserve">The citation metrics indicate a growing influence within the specific field of study, suggesting that the work is being recognized and utilized by peers worldwide.</w:t>
      </w:r>
    </w:p>
    <w:p>
      <w:pPr>
        <w:pStyle w:val="FirstParagraph"/>
      </w:pPr>
      <w:r>
        <w:t xml:space="preserve">However, the report notes that while the quantity is sufficient, there is room for improvement in securing lead authorship on collaborative projects with international partners, which is a key performance indicator for senior researchers in Almaty.</w:t>
      </w:r>
    </w:p>
    <w:bookmarkEnd w:id="21"/>
    <w:bookmarkStart w:id="22" w:name="research-methodology-and-integrity"/>
    <w:p>
      <w:pPr>
        <w:pStyle w:val="Heading2"/>
      </w:pPr>
      <w:r>
        <w:t xml:space="preserve">3. Research Methodology and Integrity</w:t>
      </w:r>
    </w:p>
    <w:p>
      <w:pPr>
        <w:pStyle w:val="FirstParagraph"/>
      </w:pPr>
      <w:r>
        <w:t xml:space="preserve">Integrity is paramount in any Peer Review Report. The committee conducted a thorough examination of the Academic Researcher's methodologies. The research designs employed were rigorous, utilizing appropriate statistical tools and qualitative frameworks.</w:t>
      </w:r>
    </w:p>
    <w:p>
      <w:pPr>
        <w:pStyle w:val="BodyText"/>
      </w:pPr>
      <w:r>
        <w:t xml:space="preserve">Special attention was paid to data collection processes within Kazakhstan. The researcher adhered to ethical guidelines regarding human subjects and data privacy, complying with both national laws and international ethical standards. No instances of plagiarism, data fabrication, or falsification were detected. The transparency in reporting limitations and potential biases further strengthens the credibility of the work.</w:t>
      </w:r>
    </w:p>
    <w:bookmarkEnd w:id="22"/>
    <w:bookmarkStart w:id="23" w:name="X0d49be3a685d62501168fdfb78cf244d0d46f3d"/>
    <w:p>
      <w:pPr>
        <w:pStyle w:val="Heading2"/>
      </w:pPr>
      <w:r>
        <w:t xml:space="preserve">4. Grant Acquisition and Resource Management</w:t>
      </w:r>
    </w:p>
    <w:p>
      <w:pPr>
        <w:pStyle w:val="FirstParagraph"/>
      </w:pPr>
      <w:r>
        <w:t xml:space="preserve">Financial sustainability is a critical aspect of modern academia. This section of the report evaluates the Academic Researcher's ability to secure funding.</w:t>
      </w:r>
    </w:p>
    <w:p>
      <w:pPr>
        <w:pStyle w:val="BodyText"/>
      </w:pPr>
      <w:r>
        <w:t xml:space="preserve">The researcher has been active in applying for grants from the Committee of Science of the Ministry of Science and Higher Education of the Republic of Kazakhstan. While success rates have been moderate, the quality of the proposals submitted was high. The researcher effectively managed allocated resources, ensuring that funds were utilized efficiently for equipment, fieldwork, and personnel.</w:t>
      </w:r>
    </w:p>
    <w:p>
      <w:pPr>
        <w:pStyle w:val="BodyText"/>
      </w:pPr>
      <w:r>
        <w:rPr>
          <w:bCs/>
          <w:b/>
        </w:rPr>
        <w:t xml:space="preserve">Recommendation:</w:t>
      </w:r>
      <w:r>
        <w:t xml:space="preserve"> </w:t>
      </w:r>
      <w:r>
        <w:t xml:space="preserve">It is advised that the researcher seeks more aggressive collaboration with industry partners in Almaty to diversify funding sources beyond government grants.</w:t>
      </w:r>
    </w:p>
    <w:bookmarkEnd w:id="23"/>
    <w:bookmarkStart w:id="24" w:name="mentorship-and-academic-leadership"/>
    <w:p>
      <w:pPr>
        <w:pStyle w:val="Heading2"/>
      </w:pPr>
      <w:r>
        <w:t xml:space="preserve">5. Mentorship and Academic Leadership</w:t>
      </w:r>
    </w:p>
    <w:p>
      <w:pPr>
        <w:pStyle w:val="FirstParagraph"/>
      </w:pPr>
      <w:r>
        <w:t xml:space="preserve">An Academic Researcher in Almaty is expected to contribute to the development of the next generation of scientists. This Peer Review Report highlights the subject's role in mentoring PhD candidates and master's students.</w:t>
      </w:r>
    </w:p>
    <w:p>
      <w:pPr>
        <w:pStyle w:val="BodyText"/>
      </w:pPr>
      <w:r>
        <w:t xml:space="preserve">Feedback from mentees indicates a supportive and constructive supervisory style. The researcher has guided several students to successful thesis defenses. Furthermore, the researcher actively participates in departmental meetings and contributes to the strategic planning of the research institute, demonstrating a commitment to institutional growth.</w:t>
      </w:r>
    </w:p>
    <w:bookmarkEnd w:id="24"/>
    <w:bookmarkStart w:id="25" w:name="overall-assessment-and-rating"/>
    <w:p>
      <w:pPr>
        <w:pStyle w:val="Heading2"/>
      </w:pPr>
      <w:r>
        <w:t xml:space="preserve">6. Overall Assessment and Rating</w:t>
      </w:r>
    </w:p>
    <w:p>
      <w:pPr>
        <w:pStyle w:val="FirstParagraph"/>
      </w:pPr>
      <w:r>
        <w:t xml:space="preserve">Based on the comprehensive analysis provided in this Peer Review Report, the Academic Researcher is rated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Scientific Quality</w:t>
            </w:r>
          </w:p>
        </w:tc>
        <w:tc>
          <w:tcPr/>
          <w:p>
            <w:pPr>
              <w:pStyle w:val="Compact"/>
              <w:jc w:val="left"/>
            </w:pPr>
            <w:r>
              <w:t xml:space="preserve">4.5</w:t>
            </w:r>
          </w:p>
        </w:tc>
        <w:tc>
          <w:tcPr/>
          <w:p>
            <w:pPr>
              <w:pStyle w:val="Compact"/>
              <w:jc w:val="left"/>
            </w:pPr>
            <w:r>
              <w:t xml:space="preserve">High quality, consistent output.</w:t>
            </w:r>
          </w:p>
        </w:tc>
      </w:tr>
      <w:tr>
        <w:tc>
          <w:tcPr/>
          <w:p>
            <w:pPr>
              <w:pStyle w:val="Compact"/>
              <w:jc w:val="left"/>
            </w:pPr>
            <w:r>
              <w:t xml:space="preserve">Relevance to Kazakhstan</w:t>
            </w:r>
          </w:p>
        </w:tc>
        <w:tc>
          <w:tcPr/>
          <w:p>
            <w:pPr>
              <w:pStyle w:val="Compact"/>
              <w:jc w:val="left"/>
            </w:pPr>
            <w:r>
              <w:t xml:space="preserve">4.0</w:t>
            </w:r>
          </w:p>
        </w:tc>
        <w:tc>
          <w:tcPr/>
          <w:p>
            <w:pPr>
              <w:pStyle w:val="Compact"/>
              <w:jc w:val="left"/>
            </w:pPr>
            <w:r>
              <w:t xml:space="preserve">Good alignment with national priorities.</w:t>
            </w:r>
          </w:p>
        </w:tc>
      </w:tr>
      <w:tr>
        <w:tc>
          <w:tcPr/>
          <w:p>
            <w:pPr>
              <w:pStyle w:val="Compact"/>
              <w:jc w:val="left"/>
            </w:pPr>
            <w:r>
              <w:t xml:space="preserve">Ethical Standards</w:t>
            </w:r>
          </w:p>
        </w:tc>
        <w:tc>
          <w:tcPr/>
          <w:p>
            <w:pPr>
              <w:pStyle w:val="Compact"/>
              <w:jc w:val="left"/>
            </w:pPr>
            <w:r>
              <w:t xml:space="preserve">5.0</w:t>
            </w:r>
          </w:p>
        </w:tc>
        <w:tc>
          <w:tcPr/>
          <w:p>
            <w:pPr>
              <w:pStyle w:val="Compact"/>
              <w:jc w:val="left"/>
            </w:pPr>
            <w:r>
              <w:t xml:space="preserve">Impeccable integrity.</w:t>
            </w:r>
          </w:p>
        </w:tc>
      </w:tr>
      <w:tr>
        <w:tc>
          <w:tcPr/>
          <w:p>
            <w:pPr>
              <w:pStyle w:val="Compact"/>
              <w:jc w:val="left"/>
            </w:pPr>
            <w:r>
              <w:t xml:space="preserve">Mentorship</w:t>
            </w:r>
          </w:p>
        </w:tc>
        <w:tc>
          <w:tcPr/>
          <w:p>
            <w:pPr>
              <w:pStyle w:val="Compact"/>
              <w:jc w:val="left"/>
            </w:pPr>
            <w:r>
              <w:t xml:space="preserve">4.0</w:t>
            </w:r>
          </w:p>
        </w:tc>
        <w:tc>
          <w:tcPr/>
          <w:p>
            <w:pPr>
              <w:pStyle w:val="Compact"/>
              <w:jc w:val="left"/>
            </w:pPr>
            <w:r>
              <w:t xml:space="preserve">Effective guidance of students.</w:t>
            </w:r>
          </w:p>
        </w:tc>
      </w:tr>
      <w:tr>
        <w:tc>
          <w:tcPr/>
          <w:p>
            <w:pPr>
              <w:pStyle w:val="Compact"/>
              <w:jc w:val="left"/>
            </w:pPr>
            <w:r>
              <w:t xml:space="preserve">Grant Success</w:t>
            </w:r>
          </w:p>
        </w:tc>
        <w:tc>
          <w:tcPr/>
          <w:p>
            <w:pPr>
              <w:pStyle w:val="Compact"/>
              <w:jc w:val="left"/>
            </w:pPr>
            <w:r>
              <w:t xml:space="preserve">3.5</w:t>
            </w:r>
          </w:p>
        </w:tc>
        <w:tc>
          <w:tcPr/>
          <w:p>
            <w:pPr>
              <w:pStyle w:val="Compact"/>
              <w:jc w:val="left"/>
            </w:pPr>
            <w:r>
              <w:t xml:space="preserve">Needs improvement in funding acquisition.</w:t>
            </w:r>
          </w:p>
        </w:tc>
      </w:tr>
    </w:tbl>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Academic Researcher is a valuable asset to the scientific community in Almaty, Kazakhstan. Their work contributes significantly to the institution's reputation and the broader academic landscape.</w:t>
      </w:r>
    </w:p>
    <w:p>
      <w:pPr>
        <w:pStyle w:val="BodyText"/>
      </w:pPr>
      <w:r>
        <w:rPr>
          <w:bCs/>
          <w:b/>
        </w:rPr>
        <w:t xml:space="preserve">Final Recommendations:</w:t>
      </w:r>
    </w:p>
    <w:p>
      <w:pPr>
        <w:numPr>
          <w:ilvl w:val="0"/>
          <w:numId w:val="1002"/>
        </w:numPr>
        <w:pStyle w:val="Compact"/>
      </w:pPr>
      <w:r>
        <w:t xml:space="preserve">Continue to prioritize high-impact international publications.</w:t>
      </w:r>
    </w:p>
    <w:p>
      <w:pPr>
        <w:numPr>
          <w:ilvl w:val="0"/>
          <w:numId w:val="1002"/>
        </w:numPr>
        <w:pStyle w:val="Compact"/>
      </w:pPr>
      <w:r>
        <w:t xml:space="preserve">Strengthen ties with local industries to enhance applied research opportunities.</w:t>
      </w:r>
    </w:p>
    <w:p>
      <w:pPr>
        <w:numPr>
          <w:ilvl w:val="0"/>
          <w:numId w:val="1002"/>
        </w:numPr>
        <w:pStyle w:val="Compact"/>
      </w:pPr>
      <w:r>
        <w:t xml:space="preserve">Lead more large-scale collaborative projects to increase grant success rates.</w:t>
      </w:r>
    </w:p>
    <w:p>
      <w:pPr>
        <w:pStyle w:val="FirstParagraph"/>
      </w:pPr>
      <w:r>
        <w:t xml:space="preserve">The committee recommends the renewal of the researcher's contract and encourages continued professional development.</w:t>
      </w:r>
    </w:p>
    <w:p>
      <w:pPr>
        <w:pStyle w:val="BodyText"/>
      </w:pPr>
      <w:r>
        <w:rPr>
          <w:bCs/>
          <w:b/>
        </w:rPr>
        <w:t xml:space="preserve">Lead Reviewer Signature</w:t>
      </w:r>
      <w:r>
        <w:br/>
      </w:r>
      <w:r>
        <w:t xml:space="preserve">[Name]</w:t>
      </w:r>
      <w:r>
        <w:br/>
      </w:r>
      <w:r>
        <w:t xml:space="preserve">[Title]</w:t>
      </w:r>
    </w:p>
    <w:p>
      <w:pPr>
        <w:pStyle w:val="BodyText"/>
      </w:pPr>
      <w:r>
        <w:rPr>
          <w:bCs/>
          <w:b/>
        </w:rPr>
        <w:t xml:space="preserve">Department Head Signature</w:t>
      </w:r>
      <w:r>
        <w:br/>
      </w:r>
      <w:r>
        <w:t xml:space="preserve">[Name]</w:t>
      </w:r>
      <w:r>
        <w:br/>
      </w:r>
      <w:r>
        <w:t xml:space="preserve">[Title]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2026-10-10T04:56:43Z</dcterms:created>
  <dcterms:modified xsi:type="dcterms:W3CDTF">2026-10-10T04:56:43Z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