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impact of an Academic Researcher based in Auckland, New Zealand. The review process aligns with the standards set by New Zealand’s tertiary education institutions and research councils, including the Tertiary Education Commission (TEC) and the Health Research Council (HRC). The purpose of this report is to provide a comprehensive evaluation of the researcher’s work, ensuring that it meets the high expectations of academic excellence and societal relevance characteristic of New Zealand’s research landscape.</w:t>
      </w:r>
    </w:p>
    <w:p>
      <w:pPr>
        <w:pStyle w:val="BodyText"/>
      </w:pPr>
      <w:r>
        <w:t xml:space="preserve">Auckland, as New Zealand’s largest city and a hub for innovation and education, plays a pivotal role in fostering research that addresses both local and global challenges. This report evaluates the researcher’s alignment with these goals, their contribution to the academic community, and their adherence to ethical and professional standards.</w:t>
      </w:r>
    </w:p>
    <w:bookmarkEnd w:id="21"/>
    <w:bookmarkStart w:id="22" w:name="research-output-and-quality"/>
    <w:p>
      <w:pPr>
        <w:pStyle w:val="Heading2"/>
      </w:pPr>
      <w:r>
        <w:t xml:space="preserve">2. Research Output and Quality</w:t>
      </w:r>
    </w:p>
    <w:p>
      <w:pPr>
        <w:pStyle w:val="FirstParagraph"/>
      </w:pPr>
      <w:r>
        <w:t xml:space="preserve">The Academic Researcher has demonstrated a strong commitment to producing high-quality research outputs. Over the past three years, they have published numerous peer-reviewed articles in reputable journals, contributing significantly to their field of study. Their work reflects a deep understanding of current trends and emerging issues, particularly those relevant to New Zealand’s unique context.</w:t>
      </w:r>
    </w:p>
    <w:p>
      <w:pPr>
        <w:pStyle w:val="BodyText"/>
      </w:pPr>
      <w:r>
        <w:t xml:space="preserve">Key achievements include:</w:t>
      </w:r>
    </w:p>
    <w:p>
      <w:pPr>
        <w:numPr>
          <w:ilvl w:val="0"/>
          <w:numId w:val="1001"/>
        </w:numPr>
        <w:pStyle w:val="Compact"/>
      </w:pPr>
      <w:r>
        <w:t xml:space="preserve">Publication of five articles in high-impact journals, including two in Q1-ranked publications.</w:t>
      </w:r>
    </w:p>
    <w:p>
      <w:pPr>
        <w:numPr>
          <w:ilvl w:val="0"/>
          <w:numId w:val="1001"/>
        </w:numPr>
        <w:pStyle w:val="Compact"/>
      </w:pPr>
      <w:r>
        <w:t xml:space="preserve">Development of innovative methodologies that have been adopted by other researchers in the region.</w:t>
      </w:r>
    </w:p>
    <w:p>
      <w:pPr>
        <w:numPr>
          <w:ilvl w:val="0"/>
          <w:numId w:val="1001"/>
        </w:numPr>
        <w:pStyle w:val="Compact"/>
      </w:pPr>
      <w:r>
        <w:t xml:space="preserve">Active participation in international conferences, where their presentations have been well-received and cited by peers.</w:t>
      </w:r>
    </w:p>
    <w:p>
      <w:pPr>
        <w:pStyle w:val="FirstParagraph"/>
      </w:pPr>
      <w:r>
        <w:t xml:space="preserve">The quality of their research is further evidenced by its practical applications. For instance, their work on sustainable urban development has informed policy discussions in Auckland, demonstrating the tangible impact of their efforts on local communities.</w:t>
      </w:r>
    </w:p>
    <w:bookmarkEnd w:id="22"/>
    <w:bookmarkStart w:id="23" w:name="collaboration-and-networking"/>
    <w:p>
      <w:pPr>
        <w:pStyle w:val="Heading2"/>
      </w:pPr>
      <w:r>
        <w:t xml:space="preserve">3. Collaboration and Networking</w:t>
      </w:r>
    </w:p>
    <w:p>
      <w:pPr>
        <w:pStyle w:val="FirstParagraph"/>
      </w:pPr>
      <w:r>
        <w:t xml:space="preserve">Collaboration is a cornerstone of successful academic research, and the Academic Researcher has excelled in this area. They have established strong partnerships with institutions across New Zealand, including the University of Auckland, Auckland University of Technology (AUT), and the University of Waikato. These collaborations have facilitated interdisciplinary projects that leverage diverse expertise to address complex problems.</w:t>
      </w:r>
    </w:p>
    <w:p>
      <w:pPr>
        <w:pStyle w:val="BodyText"/>
      </w:pPr>
      <w:r>
        <w:t xml:space="preserve">Additionally, the researcher has engaged with international partners, fostering global connections that enhance the visibility and reach of their work. Their ability to build and maintain professional relationships underscores their role as a key contributor to the academic community in Auckland and beyond.</w:t>
      </w:r>
    </w:p>
    <w:bookmarkEnd w:id="23"/>
    <w:bookmarkStart w:id="24" w:name="teaching-and-mentorship"/>
    <w:p>
      <w:pPr>
        <w:pStyle w:val="Heading2"/>
      </w:pPr>
      <w:r>
        <w:t xml:space="preserve">4. Teaching and Mentorship</w:t>
      </w:r>
    </w:p>
    <w:p>
      <w:pPr>
        <w:pStyle w:val="FirstParagraph"/>
      </w:pPr>
      <w:r>
        <w:t xml:space="preserve">Beyond their research contributions, the Academic Researcher has made significant strides in teaching and mentorship. They have supervised several postgraduate students, guiding them through their research projects and helping them develop critical thinking and analytical skills. Their mentees have gone on to achieve notable successes, including securing funding for their own research initiatives.</w:t>
      </w:r>
    </w:p>
    <w:p>
      <w:pPr>
        <w:pStyle w:val="BodyText"/>
      </w:pPr>
      <w:r>
        <w:t xml:space="preserve">In the classroom, the researcher employs innovative teaching methods that engage students and encourage active participation. Feedback from students consistently highlights their clarity, approachability, and dedication to fostering a supportive learning environment.</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standards is paramount in academic research, and the Academic Researcher has consistently demonstrated integrity in their work. They have obtained necessary approvals from ethics committees for all studies involving human participants or sensitive data. Furthermore, they have maintained transparency in their methodologies and findings, ensuring that their research is reproducible and trustworthy.</w:t>
      </w:r>
    </w:p>
    <w:p>
      <w:pPr>
        <w:pStyle w:val="BodyText"/>
      </w:pPr>
      <w:r>
        <w:t xml:space="preserve">Their professional conduct has also been exemplary. They have actively contributed to departmental committees, participated in peer reviews for journals, and upheld the values of inclusivity and respect within the academic community.</w:t>
      </w:r>
    </w:p>
    <w:bookmarkEnd w:id="25"/>
    <w:bookmarkStart w:id="26" w:name="areas-for-improvement"/>
    <w:p>
      <w:pPr>
        <w:pStyle w:val="Heading2"/>
      </w:pPr>
      <w:r>
        <w:t xml:space="preserve">6. Areas for Improvement</w:t>
      </w:r>
    </w:p>
    <w:p>
      <w:pPr>
        <w:pStyle w:val="FirstParagraph"/>
      </w:pPr>
      <w:r>
        <w:t xml:space="preserve">While the Academic Researcher has achieved considerable success, there are areas where further development could enhance their impact:</w:t>
      </w:r>
    </w:p>
    <w:p>
      <w:pPr>
        <w:numPr>
          <w:ilvl w:val="0"/>
          <w:numId w:val="1002"/>
        </w:numPr>
        <w:pStyle w:val="Compact"/>
      </w:pPr>
      <w:r>
        <w:t xml:space="preserve">Increasing engagement with industry stakeholders to translate research findings into practical solutions.</w:t>
      </w:r>
    </w:p>
    <w:p>
      <w:pPr>
        <w:numPr>
          <w:ilvl w:val="0"/>
          <w:numId w:val="1002"/>
        </w:numPr>
        <w:pStyle w:val="Compact"/>
      </w:pPr>
      <w:r>
        <w:t xml:space="preserve">Expanding efforts to secure external funding, which would support larger-scale projects and increase their influence in the field.</w:t>
      </w:r>
    </w:p>
    <w:p>
      <w:pPr>
        <w:numPr>
          <w:ilvl w:val="0"/>
          <w:numId w:val="1002"/>
        </w:numPr>
        <w:pStyle w:val="Compact"/>
      </w:pPr>
      <w:r>
        <w:t xml:space="preserve">Pursuing opportunities to lead interdisciplinary initiatives that address pressing societal challenges in Auckland and New Zealand.</w:t>
      </w:r>
    </w:p>
    <w:bookmarkEnd w:id="26"/>
    <w:bookmarkStart w:id="27" w:name="conclusion"/>
    <w:p>
      <w:pPr>
        <w:pStyle w:val="Heading2"/>
      </w:pPr>
      <w:r>
        <w:t xml:space="preserve">7. Conclusion</w:t>
      </w:r>
    </w:p>
    <w:p>
      <w:pPr>
        <w:pStyle w:val="FirstParagraph"/>
      </w:pPr>
      <w:r>
        <w:t xml:space="preserve">In conclusion, this Peer Review Report affirms the Academic Researcher’s status as a valuable asset to the academic community in Auckland, New Zealand. Their contributions to research, teaching, and collaboration reflect a commitment to excellence and a dedication to addressing real-world challenges. By continuing to build on their strengths and addressing areas for improvement, they are well-positioned to make even greater contributions to the advancement of knowledge and society.</w:t>
      </w:r>
    </w:p>
    <w:p>
      <w:pPr>
        <w:pStyle w:val="BodyText"/>
      </w:pPr>
      <w:r>
        <w:t xml:space="preserve">This evaluation underscores the importance of supporting researchers who embody the spirit of innovation and integrity that defines New Zealand’s academic institutions.</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Auckland, New Zealand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 Auckland, New Zealand</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