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24 May 2024</w:t>
            </w:r>
          </w:p>
        </w:tc>
      </w:tr>
      <w:tr>
        <w:tc>
          <w:tcPr/>
          <w:p>
            <w:pPr>
              <w:pStyle w:val="Compact"/>
              <w:jc w:val="left"/>
            </w:pPr>
            <w:r>
              <w:t xml:space="preserve">Review Type:</w:t>
            </w:r>
          </w:p>
        </w:tc>
        <w:tc>
          <w:tcPr/>
          <w:p>
            <w:pPr>
              <w:pStyle w:val="Compact"/>
              <w:jc w:val="left"/>
            </w:pPr>
            <w:r>
              <w:t xml:space="preserve">Annual Performance and Research Output Assessment</w:t>
            </w:r>
          </w:p>
        </w:tc>
      </w:tr>
      <w:tr>
        <w:tc>
          <w:tcPr/>
          <w:p>
            <w:pPr>
              <w:pStyle w:val="Compact"/>
              <w:jc w:val="left"/>
            </w:pPr>
            <w:r>
              <w:t xml:space="preserve">Candidate Name:</w:t>
            </w:r>
          </w:p>
        </w:tc>
        <w:tc>
          <w:tcPr/>
          <w:p>
            <w:pPr>
              <w:pStyle w:val="Compact"/>
              <w:jc w:val="left"/>
            </w:pPr>
            <w:r>
              <w:t xml:space="preserve">Dr. Eleanor Vance (Placeholder)</w:t>
            </w:r>
          </w:p>
        </w:tc>
      </w:tr>
      <w:tr>
        <w:tc>
          <w:tcPr/>
          <w:p>
            <w:pPr>
              <w:pStyle w:val="Compact"/>
              <w:jc w:val="left"/>
            </w:pPr>
            <w:r>
              <w:t xml:space="preserve">Position:</w:t>
            </w:r>
          </w:p>
        </w:tc>
        <w:tc>
          <w:tcPr/>
          <w:p>
            <w:pPr>
              <w:pStyle w:val="Compact"/>
              <w:jc w:val="left"/>
            </w:pPr>
            <w:r>
              <w:t xml:space="preserve">Senior Academic Researcher</w:t>
            </w:r>
          </w:p>
        </w:tc>
      </w:tr>
      <w:tr>
        <w:tc>
          <w:tcPr/>
          <w:p>
            <w:pPr>
              <w:pStyle w:val="Compact"/>
              <w:jc w:val="left"/>
            </w:pPr>
            <w:r>
              <w:t xml:space="preserve">Institution:</w:t>
            </w:r>
          </w:p>
        </w:tc>
        <w:tc>
          <w:tcPr/>
          <w:p>
            <w:pPr>
              <w:pStyle w:val="Compact"/>
              <w:jc w:val="left"/>
            </w:pPr>
            <w:r>
              <w:t xml:space="preserve">University of London (Placeholder)</w:t>
            </w:r>
          </w:p>
        </w:tc>
      </w:tr>
      <w:tr>
        <w:tc>
          <w:tcPr/>
          <w:p>
            <w:pPr>
              <w:pStyle w:val="Compact"/>
              <w:jc w:val="left"/>
            </w:pPr>
            <w:r>
              <w:t xml:space="preserve">Location:</w:t>
            </w:r>
          </w:p>
        </w:tc>
        <w:tc>
          <w:tcPr/>
          <w:p>
            <w:pPr>
              <w:pStyle w:val="Compact"/>
              <w:jc w:val="left"/>
            </w:pPr>
            <w:r>
              <w:t xml:space="preserve">United Kingdom, London</w:t>
            </w:r>
          </w:p>
        </w:tc>
      </w:tr>
      <w:tr>
        <w:tc>
          <w:tcPr/>
          <w:p>
            <w:pPr>
              <w:pStyle w:val="Compact"/>
              <w:jc w:val="left"/>
            </w:pPr>
            <w:r>
              <w:t xml:space="preserve">Reviewer Name:</w:t>
            </w:r>
          </w:p>
        </w:tc>
        <w:tc>
          <w:tcPr/>
          <w:p>
            <w:pPr>
              <w:pStyle w:val="Compact"/>
              <w:jc w:val="left"/>
            </w:pPr>
            <w:r>
              <w:t xml:space="preserve">Prof. James Sterling (Placeholder)</w:t>
            </w:r>
          </w:p>
        </w:tc>
      </w:tr>
      <w:tr>
        <w:tc>
          <w:tcPr/>
          <w:p>
            <w:pPr>
              <w:pStyle w:val="Compact"/>
              <w:jc w:val="left"/>
            </w:pPr>
            <w:r>
              <w:t xml:space="preserve">Reviewer Title:</w:t>
            </w:r>
          </w:p>
        </w:tc>
        <w:tc>
          <w:tcPr/>
          <w:p>
            <w:pPr>
              <w:pStyle w:val="Compact"/>
              <w:jc w:val="left"/>
            </w:pPr>
            <w:r>
              <w:t xml:space="preserve">Head of Research Assessment</w:t>
            </w:r>
          </w:p>
        </w:tc>
      </w:tr>
    </w:tbl>
    <w:bookmarkStart w:id="20" w:name="executive-summary"/>
    <w:p>
      <w:pPr>
        <w:pStyle w:val="Heading2"/>
      </w:pPr>
      <w:r>
        <w:t xml:space="preserve">1. Executive Summary</w:t>
      </w:r>
    </w:p>
    <w:p>
      <w:pPr>
        <w:pStyle w:val="FirstParagraph"/>
      </w:pPr>
      <w:r>
        <w:t xml:space="preserve">This Peer Review Report serves as a formal evaluation of the research activities, academic contributions, and professional conduct of the designated Academic Researcher over the preceding twelve-month period. Conducted in accordance with the rigorous standards expected within the higher education sector of the United Kingdom, this assessment focuses on the candidate's alignment with the Research Excellence Framework (REF) criteria. The review takes place within the context of London’s dynamic academic landscape, where interdisciplinary collaboration and high-impact publishing are paramount. The overall assessment indicates a strong performance, characterised by methodological rigour, ethical compliance, and significant contributions to the field of study.</w:t>
      </w:r>
    </w:p>
    <w:bookmarkEnd w:id="20"/>
    <w:bookmarkStart w:id="21" w:name="research-output-and-quality"/>
    <w:p>
      <w:pPr>
        <w:pStyle w:val="Heading2"/>
      </w:pPr>
      <w:r>
        <w:t xml:space="preserve">2. Research Output and Quality</w:t>
      </w:r>
    </w:p>
    <w:p>
      <w:pPr>
        <w:pStyle w:val="FirstParagraph"/>
      </w:pPr>
      <w:r>
        <w:t xml:space="preserve">The primary metric for evaluating an Academic Researcher in the UK is the quality and impact of their published work. During this review period, the candidate has demonstrated a commendable commitment to producing high-calibre research. The portfolio includes three peer-reviewed journal articles published in Q1 and Q2 ranked journals, which is consistent with the expectations for a researcher based in a leading institution in London.</w:t>
      </w:r>
    </w:p>
    <w:p>
      <w:pPr>
        <w:pStyle w:val="BodyText"/>
      </w:pPr>
      <w:r>
        <w:t xml:space="preserve">The thematic focus of the research addresses critical contemporary issues, thereby ensuring relevance to both the academic community and broader societal stakeholders. The methodology employed in these studies is robust, utilising mixed-method approaches that are well-suited to the complexity of the subject matter. The candidate has successfully navigated the challenges of data collection within the United Kingdom, adhering strictly to data protection regulations such as the UK GDPR. The clarity of argumentation and the depth of analysis presented in these outputs reflect a high level of scholarly maturity.</w:t>
      </w:r>
    </w:p>
    <w:bookmarkEnd w:id="21"/>
    <w:bookmarkStart w:id="22" w:name="research-impact-and-engagement"/>
    <w:p>
      <w:pPr>
        <w:pStyle w:val="Heading2"/>
      </w:pPr>
      <w:r>
        <w:t xml:space="preserve">3. Research Impact and Engagement</w:t>
      </w:r>
    </w:p>
    <w:p>
      <w:pPr>
        <w:pStyle w:val="FirstParagraph"/>
      </w:pPr>
      <w:r>
        <w:t xml:space="preserve">In the current UK academic environment, research impact extends beyond citation metrics to include real-world application and public engagement. The Academic Researcher has actively pursued opportunities to disseminate findings beyond the university walls. Notably, the candidate participated in two public seminars hosted in London, engaging with policy makers and industry leaders. This engagement is vital for demonstrating the societal value of academic inquiry.</w:t>
      </w:r>
    </w:p>
    <w:p>
      <w:pPr>
        <w:pStyle w:val="BodyText"/>
      </w:pPr>
      <w:r>
        <w:t xml:space="preserve">Furthermore, the researcher has collaborated with external partners, including non-governmental organisations and private sector entities based in the capital. These collaborations have not only enriched the research process but have also facilitated the translation of theoretical insights into practical solutions. The ability to communicate complex academic concepts to non-specialist audiences is a key strength identified in this review.</w:t>
      </w:r>
    </w:p>
    <w:bookmarkEnd w:id="22"/>
    <w:bookmarkStart w:id="23" w:name="X0d49be3a685d62501168fdfb78cf244d0d46f3d"/>
    <w:p>
      <w:pPr>
        <w:pStyle w:val="Heading2"/>
      </w:pPr>
      <w:r>
        <w:t xml:space="preserve">4. Grant Acquisition and Resource Management</w:t>
      </w:r>
    </w:p>
    <w:p>
      <w:pPr>
        <w:pStyle w:val="FirstParagraph"/>
      </w:pPr>
      <w:r>
        <w:t xml:space="preserve">Financial sustainability is a critical component of academic research. The candidate has shown initiative in securing external funding, submitting proposals to major UK funding bodies such as the Economic and Social Research Council (ESRC) and the British Academy. While one major grant application was unsuccessful, the feedback received was constructive and has been integrated into subsequent proposals. The candidate’s ability to manage existing budgets efficiently and ensure compliance with financial regulations is noted as exemplary.</w:t>
      </w:r>
    </w:p>
    <w:bookmarkEnd w:id="23"/>
    <w:bookmarkStart w:id="24" w:name="collaboration-and-leadership"/>
    <w:p>
      <w:pPr>
        <w:pStyle w:val="Heading2"/>
      </w:pPr>
      <w:r>
        <w:t xml:space="preserve">5. Collaboration and Leadership</w:t>
      </w:r>
    </w:p>
    <w:p>
      <w:pPr>
        <w:pStyle w:val="FirstParagraph"/>
      </w:pPr>
      <w:r>
        <w:t xml:space="preserve">As a member of the academic community in London, the researcher is expected to foster a collaborative environment. The candidate has actively contributed to departmental seminars and has mentored early-career researchers and PhD students. This mentorship role is crucial for the development of the next generation of scholars. The candidate’s approach to collaboration is inclusive and respectful, enhancing the overall research culture of the department.</w:t>
      </w:r>
    </w:p>
    <w:bookmarkEnd w:id="24"/>
    <w:bookmarkStart w:id="25" w:name="X6791cc610dabdca2d7729e72f17608ce3805386"/>
    <w:p>
      <w:pPr>
        <w:pStyle w:val="Heading2"/>
      </w:pPr>
      <w:r>
        <w:t xml:space="preserve">6. Ethical Compliance and Professional Conduct</w:t>
      </w:r>
    </w:p>
    <w:p>
      <w:pPr>
        <w:pStyle w:val="FirstParagraph"/>
      </w:pPr>
      <w:r>
        <w:t xml:space="preserve">Adherence to ethical standards is non-negotiable in UK academia. The Academic Researcher has maintained full compliance with the university’s research ethics policies. All research involving human participants was conducted with appropriate ethical approval, ensuring the safety and dignity of subjects. The candidate has also demonstrated integrity in authorship attribution and data management, upholding the highest standards of professional conduct.</w:t>
      </w:r>
    </w:p>
    <w:bookmarkEnd w:id="25"/>
    <w:bookmarkStart w:id="26" w:name="recommendations-and-future-directions"/>
    <w:p>
      <w:pPr>
        <w:pStyle w:val="Heading2"/>
      </w:pPr>
      <w:r>
        <w:t xml:space="preserve">7. Recommendations and Future Directions</w:t>
      </w:r>
    </w:p>
    <w:p>
      <w:pPr>
        <w:pStyle w:val="FirstParagraph"/>
      </w:pPr>
      <w:r>
        <w:t xml:space="preserve">Based on the findings of this Peer Review Report, the following recommendations are made to support the continued professional development of the Academic Researcher:</w:t>
      </w:r>
    </w:p>
    <w:p>
      <w:pPr>
        <w:numPr>
          <w:ilvl w:val="0"/>
          <w:numId w:val="1001"/>
        </w:numPr>
        <w:pStyle w:val="Compact"/>
      </w:pPr>
      <w:r>
        <w:rPr>
          <w:bCs/>
          <w:b/>
        </w:rPr>
        <w:t xml:space="preserve">Strategic Publishing:</w:t>
      </w:r>
      <w:r>
        <w:t xml:space="preserve"> </w:t>
      </w:r>
      <w:r>
        <w:t xml:space="preserve">Continue to target high-impact journals to strengthen the REF submission profile.</w:t>
      </w:r>
    </w:p>
    <w:p>
      <w:pPr>
        <w:numPr>
          <w:ilvl w:val="0"/>
          <w:numId w:val="1001"/>
        </w:numPr>
        <w:pStyle w:val="Compact"/>
      </w:pPr>
      <w:r>
        <w:rPr>
          <w:bCs/>
          <w:b/>
        </w:rPr>
        <w:t xml:space="preserve">Grant Strategy:</w:t>
      </w:r>
      <w:r>
        <w:t xml:space="preserve"> </w:t>
      </w:r>
      <w:r>
        <w:t xml:space="preserve">Develop a more diversified funding strategy, including exploring international partnerships to complement UK-based funding.</w:t>
      </w:r>
    </w:p>
    <w:p>
      <w:pPr>
        <w:numPr>
          <w:ilvl w:val="0"/>
          <w:numId w:val="1001"/>
        </w:numPr>
        <w:pStyle w:val="Compact"/>
      </w:pPr>
      <w:r>
        <w:rPr>
          <w:bCs/>
          <w:b/>
        </w:rPr>
        <w:t xml:space="preserve">Leadership:</w:t>
      </w:r>
      <w:r>
        <w:t xml:space="preserve"> </w:t>
      </w:r>
      <w:r>
        <w:t xml:space="preserve">Take on a more visible leadership role in interdisciplinary projects within the London academic network.</w:t>
      </w:r>
    </w:p>
    <w:bookmarkEnd w:id="26"/>
    <w:bookmarkStart w:id="27" w:name="conclusion"/>
    <w:p>
      <w:pPr>
        <w:pStyle w:val="Heading2"/>
      </w:pPr>
      <w:r>
        <w:t xml:space="preserve">8. Conclusion</w:t>
      </w:r>
    </w:p>
    <w:p>
      <w:pPr>
        <w:pStyle w:val="FirstParagraph"/>
      </w:pPr>
      <w:r>
        <w:t xml:space="preserve">In conclusion, this Peer Review Report affirms that the Academic Researcher is performing at a level that meets and, in several areas, exceeds the expectations of their role within the United Kingdom’s higher education sector. The candidate’s dedication to rigorous research, ethical practice, and impactful engagement makes them a valuable asset to the institution. Continued support and resources are recommended to facilitate their future success.</w:t>
      </w:r>
    </w:p>
    <w:p>
      <w:pPr>
        <w:pStyle w:val="BodyText"/>
      </w:pPr>
      <w:r>
        <w:rPr>
          <w:bCs/>
          <w:b/>
        </w:rPr>
        <w:t xml:space="preserve">Reviewer Signature:</w:t>
      </w:r>
      <w:r>
        <w:br/>
      </w:r>
      <w:r>
        <w:br/>
      </w:r>
      <w:r>
        <w:t xml:space="preserve">Prof. James Sterling</w:t>
      </w:r>
      <w:r>
        <w:br/>
      </w:r>
      <w:r>
        <w:t xml:space="preserve">Head of Research Assessment</w:t>
      </w:r>
    </w:p>
    <w:p>
      <w:pPr>
        <w:pStyle w:val="BodyText"/>
      </w:pPr>
      <w:r>
        <w:rPr>
          <w:bCs/>
          <w:b/>
        </w:rPr>
        <w:t xml:space="preserve">Date:</w:t>
      </w:r>
      <w:r>
        <w:br/>
      </w:r>
      <w:r>
        <w:br/>
      </w:r>
      <w:r>
        <w:t xml:space="preserve">24 May 2024</w:t>
      </w:r>
    </w:p>
    <w:p>
      <w:pPr>
        <w:pStyle w:val="BodyText"/>
      </w:pPr>
      <w:r>
        <w:t xml:space="preserve">This document is confidential and intended solely for the use of the individual(s) or entity to whom it is addressed. It contains information that may be privileged, confidential, or exempt from disclosure under applicable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2026-10-10T08:19:21Z</dcterms:created>
  <dcterms:modified xsi:type="dcterms:W3CDTF">2026-10-10T08:19:21Z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