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Evaluation</w:t>
      </w:r>
    </w:p>
    <w:bookmarkStart w:id="26" w:name="peer-review-report"/>
    <w:p>
      <w:pPr>
        <w:pStyle w:val="Heading1"/>
      </w:pPr>
      <w:r>
        <w:t xml:space="preserve">Peer Review Report</w:t>
      </w:r>
    </w:p>
    <w:p>
      <w:pPr>
        <w:pStyle w:val="FirstParagraph"/>
      </w:pPr>
      <w:r>
        <w:t xml:space="preserve">Subject of Review</w:t>
      </w:r>
    </w:p>
    <w:p>
      <w:pPr>
        <w:pStyle w:val="BodyText"/>
      </w:pPr>
      <w:r>
        <w:t xml:space="preserve">Professional Accounting Practice</w:t>
      </w:r>
    </w:p>
    <w:p>
      <w:pPr>
        <w:pStyle w:val="BodyText"/>
      </w:pPr>
      <w:r>
        <w:t xml:space="preserve">Location</w:t>
      </w:r>
    </w:p>
    <w:p>
      <w:pPr>
        <w:pStyle w:val="BodyText"/>
      </w:pPr>
      <w:r>
        <w:t xml:space="preserve">Buenos Aires, Argentina</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Comprehensive Quality Control Assessment</w:t>
      </w:r>
    </w:p>
    <w:bookmarkStart w:id="20" w:name="introduction-and-scope"/>
    <w:p>
      <w:pPr>
        <w:pStyle w:val="Heading2"/>
      </w:pPr>
      <w:r>
        <w:t xml:space="preserve">1. Introduction and Scope</w:t>
      </w:r>
    </w:p>
    <w:p>
      <w:pPr>
        <w:pStyle w:val="FirstParagraph"/>
      </w:pPr>
      <w:r>
        <w:t xml:space="preserve">This Peer Review Report has been prepared to evaluate the quality of professional services provided by the subject</w:t>
      </w:r>
      <w:r>
        <w:t xml:space="preserve"> </w:t>
      </w:r>
      <w:r>
        <w:rPr>
          <w:bCs/>
          <w:b/>
        </w:rPr>
        <w:t xml:space="preserve">Accountant</w:t>
      </w:r>
      <w:r>
        <w:t xml:space="preserve"> </w:t>
      </w:r>
      <w:r>
        <w:t xml:space="preserve">operating within the jurisdiction of</w:t>
      </w:r>
      <w:r>
        <w:t xml:space="preserve"> </w:t>
      </w:r>
      <w:r>
        <w:rPr>
          <w:bCs/>
          <w:b/>
        </w:rPr>
        <w:t xml:space="preserve">Argentina Buenos Aires</w:t>
      </w:r>
      <w:r>
        <w:t xml:space="preserve">. The primary objective of this review is to assess the firm's compliance with the International Standards on Auditing (ISA), the International Standards on Quality Management (ISQM), and the specific regulatory requirements established by the</w:t>
      </w:r>
      <w:r>
        <w:t xml:space="preserve"> </w:t>
      </w:r>
      <w:r>
        <w:rPr>
          <w:iCs/>
          <w:i/>
        </w:rPr>
        <w:t xml:space="preserve">Consejo Profesional de Ciencias Económicas de la Ciudad Autónoma de Buenos Aires</w:t>
      </w:r>
      <w:r>
        <w:t xml:space="preserve"> </w:t>
      </w:r>
      <w:r>
        <w:t xml:space="preserve">(CPCBA).</w:t>
      </w:r>
    </w:p>
    <w:p>
      <w:pPr>
        <w:pStyle w:val="BodyText"/>
      </w:pPr>
      <w:r>
        <w:t xml:space="preserve">The review focuses on the</w:t>
      </w:r>
      <w:r>
        <w:t xml:space="preserve"> </w:t>
      </w:r>
      <w:r>
        <w:rPr>
          <w:bCs/>
          <w:b/>
        </w:rPr>
        <w:t xml:space="preserve">Accountant</w:t>
      </w:r>
      <w:r>
        <w:t xml:space="preserve">'s adherence to ethical principles, technical competence, and the robustness of their internal quality control systems. Given the dynamic economic environment of</w:t>
      </w:r>
      <w:r>
        <w:t xml:space="preserve"> </w:t>
      </w:r>
      <w:r>
        <w:rPr>
          <w:bCs/>
          <w:b/>
        </w:rPr>
        <w:t xml:space="preserve">Argentina Buenos Aires</w:t>
      </w:r>
      <w:r>
        <w:t xml:space="preserve">, particular attention was paid to the handling of complex tax regulations, inflation accounting adjustments, and foreign currency reporting standards.</w:t>
      </w:r>
    </w:p>
    <w:bookmarkEnd w:id="20"/>
    <w:bookmarkStart w:id="21" w:name="regulatory-context-and-jurisdiction"/>
    <w:p>
      <w:pPr>
        <w:pStyle w:val="Heading2"/>
      </w:pPr>
      <w:r>
        <w:t xml:space="preserve">2. Regulatory Context and Jurisdiction</w:t>
      </w:r>
    </w:p>
    <w:p>
      <w:pPr>
        <w:pStyle w:val="FirstParagraph"/>
      </w:pPr>
      <w:r>
        <w:t xml:space="preserve">Operating as an</w:t>
      </w:r>
      <w:r>
        <w:t xml:space="preserve"> </w:t>
      </w:r>
      <w:r>
        <w:rPr>
          <w:bCs/>
          <w:b/>
        </w:rPr>
        <w:t xml:space="preserve">Accountant</w:t>
      </w:r>
      <w:r>
        <w:t xml:space="preserve"> </w:t>
      </w:r>
      <w:r>
        <w:t xml:space="preserve">in</w:t>
      </w:r>
      <w:r>
        <w:t xml:space="preserve"> </w:t>
      </w:r>
      <w:r>
        <w:rPr>
          <w:bCs/>
          <w:b/>
        </w:rPr>
        <w:t xml:space="preserve">Argentina Buenos Aires</w:t>
      </w:r>
      <w:r>
        <w:t xml:space="preserve"> </w:t>
      </w:r>
      <w:r>
        <w:t xml:space="preserve">requires a deep understanding of the local legal framework. This review examined the subject's compliance with the Argentine Commercial Code and the tax laws enforced by the</w:t>
      </w:r>
      <w:r>
        <w:t xml:space="preserve"> </w:t>
      </w:r>
      <w:r>
        <w:rPr>
          <w:iCs/>
          <w:i/>
        </w:rPr>
        <w:t xml:space="preserve">Administración Federal de Ingresos Públicos</w:t>
      </w:r>
      <w:r>
        <w:t xml:space="preserve"> </w:t>
      </w:r>
      <w:r>
        <w:t xml:space="preserve">(AFIP). The</w:t>
      </w:r>
      <w:r>
        <w:t xml:space="preserve"> </w:t>
      </w:r>
      <w:r>
        <w:rPr>
          <w:bCs/>
          <w:b/>
        </w:rPr>
        <w:t xml:space="preserve">Peer Review Report</w:t>
      </w:r>
      <w:r>
        <w:t xml:space="preserve"> </w:t>
      </w:r>
      <w:r>
        <w:t xml:space="preserve">confirms that the</w:t>
      </w:r>
      <w:r>
        <w:t xml:space="preserve"> </w:t>
      </w:r>
      <w:r>
        <w:rPr>
          <w:bCs/>
          <w:b/>
        </w:rPr>
        <w:t xml:space="preserve">Accountant</w:t>
      </w:r>
      <w:r>
        <w:t xml:space="preserve"> </w:t>
      </w:r>
      <w:r>
        <w:t xml:space="preserve">maintains active registration with the relevant professional council and adheres to the continuing professional development (CPD) requirements mandated for practitioners in the region.</w:t>
      </w:r>
    </w:p>
    <w:p>
      <w:pPr>
        <w:pStyle w:val="BodyText"/>
      </w:pPr>
      <w:r>
        <w:t xml:space="preserve">Furthermore, the review assessed the</w:t>
      </w:r>
      <w:r>
        <w:t xml:space="preserve"> </w:t>
      </w:r>
      <w:r>
        <w:rPr>
          <w:bCs/>
          <w:b/>
        </w:rPr>
        <w:t xml:space="preserve">Accountant</w:t>
      </w:r>
      <w:r>
        <w:t xml:space="preserve">'s ability to navigate the specific challenges presented by the economic volatility often associated with the region. The evaluation looked for evidence that financial statements prepared by the</w:t>
      </w:r>
      <w:r>
        <w:t xml:space="preserve"> </w:t>
      </w:r>
      <w:r>
        <w:rPr>
          <w:bCs/>
          <w:b/>
        </w:rPr>
        <w:t xml:space="preserve">Accountant</w:t>
      </w:r>
      <w:r>
        <w:t xml:space="preserve"> </w:t>
      </w:r>
      <w:r>
        <w:t xml:space="preserve">accurately reflect the economic reality of the clients, utilizing appropriate restatement methods for inflation as required by local accounting standards.</w:t>
      </w:r>
    </w:p>
    <w:bookmarkEnd w:id="21"/>
    <w:bookmarkStart w:id="22" w:name="evaluation-of-quality-control-systems"/>
    <w:p>
      <w:pPr>
        <w:pStyle w:val="Heading2"/>
      </w:pPr>
      <w:r>
        <w:t xml:space="preserve">3. Evaluation of Quality Control Systems</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Accountant</w:t>
      </w:r>
      <w:r>
        <w:t xml:space="preserve">'s internal quality control policies. The review team examined the firm's documentation regarding leadership responsibilities for quality within the firm, relevant ethical requirements, and acceptance and continuance of client relationships.</w:t>
      </w:r>
    </w:p>
    <w:p>
      <w:pPr>
        <w:pStyle w:val="BodyText"/>
      </w:pPr>
      <w:r>
        <w:t xml:space="preserve">The findings indicate that the</w:t>
      </w:r>
      <w:r>
        <w:t xml:space="preserve"> </w:t>
      </w:r>
      <w:r>
        <w:rPr>
          <w:bCs/>
          <w:b/>
        </w:rPr>
        <w:t xml:space="preserve">Accountant</w:t>
      </w:r>
      <w:r>
        <w:t xml:space="preserve"> </w:t>
      </w:r>
      <w:r>
        <w:t xml:space="preserve">has established a structured framework for quality management. However, the</w:t>
      </w:r>
      <w:r>
        <w:t xml:space="preserve"> </w:t>
      </w:r>
      <w:r>
        <w:rPr>
          <w:bCs/>
          <w:b/>
        </w:rPr>
        <w:t xml:space="preserve">Peer Review Report</w:t>
      </w:r>
      <w:r>
        <w:t xml:space="preserve"> </w:t>
      </w:r>
      <w:r>
        <w:t xml:space="preserve">notes that while the policies are documented, the practical application in high-volume periods typical of the tax season in</w:t>
      </w:r>
      <w:r>
        <w:t xml:space="preserve"> </w:t>
      </w:r>
      <w:r>
        <w:rPr>
          <w:bCs/>
          <w:b/>
        </w:rPr>
        <w:t xml:space="preserve">Argentina Buenos Aires</w:t>
      </w:r>
      <w:r>
        <w:t xml:space="preserve"> </w:t>
      </w:r>
      <w:r>
        <w:t xml:space="preserve">requires reinforcement. Specifically, the review recommends enhancing the monitoring procedures to ensure that deadlines set by AFIP are met without compromising the accuracy of the filings.</w:t>
      </w:r>
    </w:p>
    <w:bookmarkEnd w:id="22"/>
    <w:bookmarkStart w:id="23" w:name="technical-competence-and-audit-quality"/>
    <w:p>
      <w:pPr>
        <w:pStyle w:val="Heading2"/>
      </w:pPr>
      <w:r>
        <w:t xml:space="preserve">4. Technical Competence and Audit Quality</w:t>
      </w:r>
    </w:p>
    <w:p>
      <w:pPr>
        <w:pStyle w:val="FirstParagraph"/>
      </w:pPr>
      <w:r>
        <w:t xml:space="preserve">The technical proficiency of the</w:t>
      </w:r>
      <w:r>
        <w:t xml:space="preserve"> </w:t>
      </w:r>
      <w:r>
        <w:rPr>
          <w:bCs/>
          <w:b/>
        </w:rPr>
        <w:t xml:space="preserve">Accountant</w:t>
      </w:r>
      <w:r>
        <w:t xml:space="preserve"> </w:t>
      </w:r>
      <w:r>
        <w:t xml:space="preserve">was evaluated by sampling a selection of recent audit and assurance engagements. The</w:t>
      </w:r>
      <w:r>
        <w:t xml:space="preserve"> </w:t>
      </w:r>
      <w:r>
        <w:rPr>
          <w:bCs/>
          <w:b/>
        </w:rPr>
        <w:t xml:space="preserve">Peer Review Report</w:t>
      </w:r>
      <w:r>
        <w:t xml:space="preserve"> </w:t>
      </w:r>
      <w:r>
        <w:t xml:space="preserve">highlights that the</w:t>
      </w:r>
      <w:r>
        <w:t xml:space="preserve"> </w:t>
      </w:r>
      <w:r>
        <w:rPr>
          <w:bCs/>
          <w:b/>
        </w:rPr>
        <w:t xml:space="preserve">Accountant</w:t>
      </w:r>
      <w:r>
        <w:t xml:space="preserve"> </w:t>
      </w:r>
      <w:r>
        <w:t xml:space="preserve">demonstrates a strong command of International Financial Reporting Standards (IFRS) as adopted in Argentina.</w:t>
      </w:r>
    </w:p>
    <w:p>
      <w:pPr>
        <w:pStyle w:val="BodyText"/>
      </w:pPr>
      <w:r>
        <w:t xml:space="preserve">Key areas of assessment included:</w:t>
      </w:r>
    </w:p>
    <w:p>
      <w:pPr>
        <w:numPr>
          <w:ilvl w:val="0"/>
          <w:numId w:val="1001"/>
        </w:numPr>
        <w:pStyle w:val="Compact"/>
      </w:pPr>
      <w:r>
        <w:rPr>
          <w:bCs/>
          <w:b/>
        </w:rPr>
        <w:t xml:space="preserve">Risk Assessment:</w:t>
      </w:r>
      <w:r>
        <w:t xml:space="preserve"> </w:t>
      </w:r>
      <w:r>
        <w:t xml:space="preserve">The</w:t>
      </w:r>
      <w:r>
        <w:t xml:space="preserve"> </w:t>
      </w:r>
      <w:r>
        <w:rPr>
          <w:bCs/>
          <w:b/>
        </w:rPr>
        <w:t xml:space="preserve">Accountant</w:t>
      </w:r>
      <w:r>
        <w:t xml:space="preserve"> </w:t>
      </w:r>
      <w:r>
        <w:t xml:space="preserve">effectively identifies risks of material misstatement, particularly regarding revenue recognition and inventory valuation.</w:t>
      </w:r>
    </w:p>
    <w:p>
      <w:pPr>
        <w:numPr>
          <w:ilvl w:val="0"/>
          <w:numId w:val="1001"/>
        </w:numPr>
        <w:pStyle w:val="Compact"/>
      </w:pPr>
      <w:r>
        <w:rPr>
          <w:bCs/>
          <w:b/>
        </w:rPr>
        <w:t xml:space="preserve">Evidence Gathering:</w:t>
      </w:r>
      <w:r>
        <w:t xml:space="preserve"> </w:t>
      </w:r>
      <w:r>
        <w:t xml:space="preserve">Sufficient appropriate audit evidence is obtained to support the opinions expressed in the financial statements.</w:t>
      </w:r>
    </w:p>
    <w:p>
      <w:pPr>
        <w:numPr>
          <w:ilvl w:val="0"/>
          <w:numId w:val="1001"/>
        </w:numPr>
        <w:pStyle w:val="Compact"/>
      </w:pPr>
      <w:r>
        <w:rPr>
          <w:bCs/>
          <w:b/>
        </w:rPr>
        <w:t xml:space="preserve">Documentation:</w:t>
      </w:r>
      <w:r>
        <w:t xml:space="preserve"> </w:t>
      </w:r>
      <w:r>
        <w:t xml:space="preserve">Working papers are generally well-organized and provide a clear trail of the audit procedures performed.</w:t>
      </w:r>
    </w:p>
    <w:p>
      <w:pPr>
        <w:pStyle w:val="FirstParagraph"/>
      </w:pPr>
      <w:r>
        <w:t xml:space="preserve">However, the</w:t>
      </w:r>
      <w:r>
        <w:t xml:space="preserve"> </w:t>
      </w:r>
      <w:r>
        <w:rPr>
          <w:bCs/>
          <w:b/>
        </w:rPr>
        <w:t xml:space="preserve">Peer Review Report</w:t>
      </w:r>
      <w:r>
        <w:t xml:space="preserve"> </w:t>
      </w:r>
      <w:r>
        <w:t xml:space="preserve">suggests that the</w:t>
      </w:r>
      <w:r>
        <w:t xml:space="preserve"> </w:t>
      </w:r>
      <w:r>
        <w:rPr>
          <w:bCs/>
          <w:b/>
        </w:rPr>
        <w:t xml:space="preserve">Accountant</w:t>
      </w:r>
      <w:r>
        <w:t xml:space="preserve"> </w:t>
      </w:r>
      <w:r>
        <w:t xml:space="preserve">should place greater emphasis on documenting the rationale behind significant judgments made during the audit process, especially when dealing with complex tax interpretations specific to the Buenos Aires jurisdiction.</w:t>
      </w:r>
    </w:p>
    <w:bookmarkEnd w:id="23"/>
    <w:bookmarkStart w:id="24" w:name="ethical-compliance-and-independence"/>
    <w:p>
      <w:pPr>
        <w:pStyle w:val="Heading2"/>
      </w:pPr>
      <w:r>
        <w:t xml:space="preserve">5. Ethical Compliance and Independence</w:t>
      </w:r>
    </w:p>
    <w:p>
      <w:pPr>
        <w:pStyle w:val="FirstParagraph"/>
      </w:pPr>
      <w:r>
        <w:t xml:space="preserve">Integrity and objectivity are paramount for any</w:t>
      </w:r>
      <w:r>
        <w:t xml:space="preserve"> </w:t>
      </w:r>
      <w:r>
        <w:rPr>
          <w:bCs/>
          <w:b/>
        </w:rPr>
        <w:t xml:space="preserve">Accountant</w:t>
      </w:r>
      <w:r>
        <w:t xml:space="preserve">. This</w:t>
      </w:r>
      <w:r>
        <w:t xml:space="preserve"> </w:t>
      </w:r>
      <w:r>
        <w:rPr>
          <w:bCs/>
          <w:b/>
        </w:rPr>
        <w:t xml:space="preserve">Peer Review Report</w:t>
      </w:r>
      <w:r>
        <w:t xml:space="preserve"> </w:t>
      </w:r>
      <w:r>
        <w:t xml:space="preserve">thoroughly investigated the subject's adherence to the Code of Ethics for Professional Accountants. The review confirmed that the</w:t>
      </w:r>
      <w:r>
        <w:t xml:space="preserve"> </w:t>
      </w:r>
      <w:r>
        <w:rPr>
          <w:bCs/>
          <w:b/>
        </w:rPr>
        <w:t xml:space="preserve">Accountant</w:t>
      </w:r>
      <w:r>
        <w:t xml:space="preserve"> </w:t>
      </w:r>
      <w:r>
        <w:t xml:space="preserve">maintains strict independence in mind and in appearance.</w:t>
      </w:r>
    </w:p>
    <w:p>
      <w:pPr>
        <w:pStyle w:val="BodyText"/>
      </w:pPr>
      <w:r>
        <w:t xml:space="preserve">The</w:t>
      </w:r>
      <w:r>
        <w:t xml:space="preserve"> </w:t>
      </w:r>
      <w:r>
        <w:rPr>
          <w:bCs/>
          <w:b/>
        </w:rPr>
        <w:t xml:space="preserve">Accountant</w:t>
      </w:r>
      <w:r>
        <w:t xml:space="preserve"> </w:t>
      </w:r>
      <w:r>
        <w:t xml:space="preserve">has implemented effective safeguards to manage threats to independence, such as self-interest or familiarity threats, which can arise in the close-knit business community of</w:t>
      </w:r>
      <w:r>
        <w:t xml:space="preserve"> </w:t>
      </w:r>
      <w:r>
        <w:rPr>
          <w:bCs/>
          <w:b/>
        </w:rPr>
        <w:t xml:space="preserve">Argentina Buenos Aires</w:t>
      </w:r>
      <w:r>
        <w:t xml:space="preserve">. The</w:t>
      </w:r>
      <w:r>
        <w:t xml:space="preserve"> </w:t>
      </w:r>
      <w:r>
        <w:rPr>
          <w:bCs/>
          <w:b/>
        </w:rPr>
        <w:t xml:space="preserve">Peer Review Report</w:t>
      </w:r>
      <w:r>
        <w:t xml:space="preserve"> </w:t>
      </w:r>
      <w:r>
        <w:t xml:space="preserve">commends the firm for its transparent conflict of interest checks and its commitment to confidentiality.</w:t>
      </w:r>
    </w:p>
    <w:bookmarkEnd w:id="24"/>
    <w:bookmarkStart w:id="25"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Accountant</w:t>
      </w:r>
      <w:r>
        <w:t xml:space="preserve"> </w:t>
      </w:r>
      <w:r>
        <w:t xml:space="preserve">operating in</w:t>
      </w:r>
      <w:r>
        <w:t xml:space="preserve"> </w:t>
      </w:r>
      <w:r>
        <w:rPr>
          <w:bCs/>
          <w:b/>
        </w:rPr>
        <w:t xml:space="preserve">Argentina Buenos Aires</w:t>
      </w:r>
      <w:r>
        <w:t xml:space="preserve"> </w:t>
      </w:r>
      <w:r>
        <w:t xml:space="preserve">provides professional services of a high standard. The firm demonstrates a solid commitment to quality, ethics, and regulatory compliance.</w:t>
      </w:r>
    </w:p>
    <w:p>
      <w:pPr>
        <w:pStyle w:val="BodyText"/>
      </w:pPr>
      <w:r>
        <w:t xml:space="preserve">To further enhance the quality of their practice, the</w:t>
      </w:r>
      <w:r>
        <w:t xml:space="preserve"> </w:t>
      </w:r>
      <w:r>
        <w:rPr>
          <w:bCs/>
          <w:b/>
        </w:rPr>
        <w:t xml:space="preserve">Peer Review Report</w:t>
      </w:r>
      <w:r>
        <w:t xml:space="preserve"> </w:t>
      </w:r>
      <w:r>
        <w:t xml:space="preserve">offers the following recommendations:</w:t>
      </w:r>
    </w:p>
    <w:p>
      <w:pPr>
        <w:numPr>
          <w:ilvl w:val="0"/>
          <w:numId w:val="1002"/>
        </w:numPr>
        <w:pStyle w:val="Compact"/>
      </w:pPr>
      <w:r>
        <w:t xml:space="preserve">Strengthen the monitoring of quality control procedures during peak operational periods.</w:t>
      </w:r>
    </w:p>
    <w:p>
      <w:pPr>
        <w:numPr>
          <w:ilvl w:val="0"/>
          <w:numId w:val="1002"/>
        </w:numPr>
        <w:pStyle w:val="Compact"/>
      </w:pPr>
      <w:r>
        <w:t xml:space="preserve">Enhance documentation regarding significant accounting estimates and tax judgments.</w:t>
      </w:r>
    </w:p>
    <w:p>
      <w:pPr>
        <w:numPr>
          <w:ilvl w:val="0"/>
          <w:numId w:val="1002"/>
        </w:numPr>
        <w:pStyle w:val="Compact"/>
      </w:pPr>
      <w:r>
        <w:t xml:space="preserve">Continue to invest in training regarding the evolving regulatory landscape in Argentina.</w:t>
      </w:r>
    </w:p>
    <w:p>
      <w:pPr>
        <w:pStyle w:val="FirstParagraph"/>
      </w:pPr>
      <w:r>
        <w:t xml:space="preserve">Overall, the</w:t>
      </w:r>
      <w:r>
        <w:t xml:space="preserve"> </w:t>
      </w:r>
      <w:r>
        <w:rPr>
          <w:bCs/>
          <w:b/>
        </w:rPr>
        <w:t xml:space="preserve">Accountant</w:t>
      </w:r>
      <w:r>
        <w:t xml:space="preserve"> </w:t>
      </w:r>
      <w:r>
        <w:t xml:space="preserve">is well-positioned to serve their clients effectively within the complex economic environment of</w:t>
      </w:r>
      <w:r>
        <w:t xml:space="preserve"> </w:t>
      </w:r>
      <w:r>
        <w:rPr>
          <w:bCs/>
          <w:b/>
        </w:rPr>
        <w:t xml:space="preserve">Argentina Buenos Aires</w:t>
      </w:r>
      <w:r>
        <w:t xml:space="preserve">, maintaining the trust and confidence of stakeholders through rigorous professional standards.</w:t>
      </w:r>
    </w:p>
    <w:p>
      <w:pPr>
        <w:pStyle w:val="BodyText"/>
      </w:pPr>
      <w:r>
        <w:rPr>
          <w:bCs/>
          <w:b/>
        </w:rPr>
        <w:t xml:space="preserve">Reviewed By:</w:t>
      </w:r>
      <w:r>
        <w:br/>
      </w:r>
      <w:r>
        <w:t xml:space="preserve">Senior Peer Reviewer</w:t>
      </w:r>
      <w:r>
        <w:br/>
      </w:r>
      <w:r>
        <w:t xml:space="preserve">Independent Quality Assurance Board</w:t>
      </w:r>
    </w:p>
    <w:p>
      <w:pPr>
        <w:pStyle w:val="BodyText"/>
      </w:pPr>
      <w:r>
        <w:rPr>
          <w:bCs/>
          <w:b/>
        </w:rPr>
        <w:t xml:space="preserve">Reviewed For:</w:t>
      </w:r>
      <w:r>
        <w:br/>
      </w:r>
      <w:r>
        <w:t xml:space="preserve">Subject Accountant</w:t>
      </w:r>
      <w:r>
        <w:br/>
      </w:r>
      <w:r>
        <w:t xml:space="preserve">Buenos Aires, Argentina</w:t>
      </w:r>
    </w:p>
    <w:p>
      <w:pPr>
        <w:pStyle w:val="BodyText"/>
      </w:pPr>
      <w:r>
        <w:t xml:space="preserve">This document is a formal Peer Review Report intended for professional use only. It reflects the findings of the review conducted in accordance with applicable standards in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Evaluation</dc:title>
  <dc:creator/>
  <dc:language>en</dc:language>
  <cp:keywords/>
  <dcterms:created xsi:type="dcterms:W3CDTF">2026-10-10T08:52:11Z</dcterms:created>
  <dcterms:modified xsi:type="dcterms:W3CDTF">2026-10-10T08:52:11Z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