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Compliance Assessment</w:t>
      </w:r>
    </w:p>
    <w:p>
      <w:pPr>
        <w:pStyle w:val="BodyText"/>
      </w:pPr>
      <w:r>
        <w:rPr>
          <w:bCs/>
          <w:b/>
        </w:rPr>
        <w:t xml:space="preserve">Role:</w:t>
      </w:r>
      <w:r>
        <w:t xml:space="preserve"> </w:t>
      </w:r>
      <w:r>
        <w:t xml:space="preserve">Accountant</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competency, and ethical adherence of the designated Accountant operating within the jurisdiction of Australia Melbourne. The review process aligns with the standards set forth by the Tax Practitioners Board (TPB) and relevant accounting bodies such as CPA Australia or Chartered Accountants Australia and New Zealand (CA ANZ). The primary objective is to ensure that the Accountant maintains the highest standards of service delivery, regulatory compliance, and professional integrity expected in the competitive financial landscape of Melbourne.</w:t>
      </w:r>
    </w:p>
    <w:bookmarkEnd w:id="21"/>
    <w:bookmarkStart w:id="22" w:name="scope-of-the-peer-review"/>
    <w:p>
      <w:pPr>
        <w:pStyle w:val="Heading2"/>
      </w:pPr>
      <w:r>
        <w:t xml:space="preserve">2. Scope of the Peer Review</w:t>
      </w:r>
    </w:p>
    <w:p>
      <w:pPr>
        <w:pStyle w:val="FirstParagraph"/>
      </w:pPr>
      <w:r>
        <w:t xml:space="preserve">The scope of this Peer Review Report encompasses a comprehensive analysis of the Accountant’s recent work products, client interactions, and adherence to Australian Accounting Standards (AASB). Specifically, the review focuses on tax compliance, financial reporting accuracy, and the application of local regulations pertinent to businesses and individuals in Australia Melbourne. The assessment covers a sample of engagements conducted over the past twelve months, ensuring a representative evaluation of the Accountant’s ongoing professional practice.</w:t>
      </w:r>
    </w:p>
    <w:bookmarkEnd w:id="22"/>
    <w:bookmarkStart w:id="25" w:name="technical-competency-and-standards"/>
    <w:p>
      <w:pPr>
        <w:pStyle w:val="Heading2"/>
      </w:pPr>
      <w:r>
        <w:t xml:space="preserve">3. Technical Competency and Standards</w:t>
      </w:r>
    </w:p>
    <w:bookmarkStart w:id="23" w:name="tax-compliance-and-advisory"/>
    <w:p>
      <w:pPr>
        <w:pStyle w:val="Heading3"/>
      </w:pPr>
      <w:r>
        <w:t xml:space="preserve">3.1 Tax Compliance and Advisory</w:t>
      </w:r>
    </w:p>
    <w:p>
      <w:pPr>
        <w:pStyle w:val="FirstParagraph"/>
      </w:pPr>
      <w:r>
        <w:t xml:space="preserve">The Accountant demonstrates a robust understanding of the Australian Taxation Office (ATO) requirements. In the context of Australia Melbourne, where business structures vary from sole traders to complex corporate entities, the Accountant has shown proficiency in preparing and lodging Business Activity Statements (BAS), income tax returns, and Goods and Services Tax (GST) reports. The Peer Review Report confirms that the Accountant correctly applies current tax legislation, including recent changes to superannuation guarantee rates and fringe benefits tax obligations.</w:t>
      </w:r>
    </w:p>
    <w:bookmarkEnd w:id="23"/>
    <w:bookmarkStart w:id="24" w:name="financial-reporting"/>
    <w:p>
      <w:pPr>
        <w:pStyle w:val="Heading3"/>
      </w:pPr>
      <w:r>
        <w:t xml:space="preserve">3.2 Financial Reporting</w:t>
      </w:r>
    </w:p>
    <w:p>
      <w:pPr>
        <w:pStyle w:val="FirstParagraph"/>
      </w:pPr>
      <w:r>
        <w:t xml:space="preserve">Financial statements prepared by the Accountant adhere strictly to the AASB and the Corporations Act 2001. The review highlights the Accountant’s ability to produce clear, accurate, and transparent financial reports that meet the needs of stakeholders in the Melbourne market. Particular attention was paid to the treatment of revenue recognition and expense allocation, both of which were handled in accordance with professional standards.</w:t>
      </w:r>
    </w:p>
    <w:bookmarkEnd w:id="24"/>
    <w:bookmarkEnd w:id="25"/>
    <w:bookmarkStart w:id="26" w:name="Xe392b7a3cbe83e38fb4506a95f73905ad882931"/>
    <w:p>
      <w:pPr>
        <w:pStyle w:val="Heading2"/>
      </w:pPr>
      <w:r>
        <w:t xml:space="preserve">4. Ethical Conduct and Professional Integrity</w:t>
      </w:r>
    </w:p>
    <w:p>
      <w:pPr>
        <w:pStyle w:val="FirstParagraph"/>
      </w:pPr>
      <w:r>
        <w:t xml:space="preserve">A critical component of this Peer Review Report is the assessment of the Accountant’s ethical behavior. The Accountant has consistently demonstrated integrity, objectivity, and professional competence, as required by the Code of Ethics for Professional Accountants. There were no instances of conflicts of interest or breaches of confidentiality identified during the review. The Accountant’s commitment to ethical practice is particularly vital in Australia Melbourne, where trust and reputation are paramount in client relationships.</w:t>
      </w:r>
    </w:p>
    <w:bookmarkEnd w:id="26"/>
    <w:bookmarkStart w:id="27" w:name="client-service-and-communication"/>
    <w:p>
      <w:pPr>
        <w:pStyle w:val="Heading2"/>
      </w:pPr>
      <w:r>
        <w:t xml:space="preserve">5. Client Service and Communication</w:t>
      </w:r>
    </w:p>
    <w:p>
      <w:pPr>
        <w:pStyle w:val="FirstParagraph"/>
      </w:pPr>
      <w:r>
        <w:t xml:space="preserve">The Accountant’s ability to communicate complex financial information in a clear and understandable manner was evaluated. Feedback from clients in Australia Melbourne indicates that the Accountant is responsive, approachable, and proactive in providing financial advice. The Peer Review Report notes that the Accountant effectively utilizes technology to enhance client service, including the use of cloud-based accounting software and secure communication platforms, which are increasingly expected in the modern Melbourne business environment.</w:t>
      </w:r>
    </w:p>
    <w:bookmarkEnd w:id="27"/>
    <w:bookmarkStart w:id="28" w:name="compliance-with-regulatory-requirements"/>
    <w:p>
      <w:pPr>
        <w:pStyle w:val="Heading2"/>
      </w:pPr>
      <w:r>
        <w:t xml:space="preserve">6. Compliance with Regulatory Requirements</w:t>
      </w:r>
    </w:p>
    <w:p>
      <w:pPr>
        <w:pStyle w:val="FirstParagraph"/>
      </w:pPr>
      <w:r>
        <w:t xml:space="preserve">The Accountant is fully registered with the Tax Practitioners Board and maintains all necessary continuing professional development (CPD) hours as mandated by Australian regulations. The Peer Review Report confirms that the Accountant stays updated with changes in tax law, accounting standards, and other regulatory requirements relevant to practice in Australia Melbourne. This commitment to ongoing education ensures that the Accountant provides current and accurate advice to clients.</w:t>
      </w:r>
    </w:p>
    <w:bookmarkEnd w:id="28"/>
    <w:bookmarkStart w:id="29" w:name="areas-for-improvement"/>
    <w:p>
      <w:pPr>
        <w:pStyle w:val="Heading2"/>
      </w:pPr>
      <w:r>
        <w:t xml:space="preserve">7. Areas for Improvement</w:t>
      </w:r>
    </w:p>
    <w:p>
      <w:pPr>
        <w:pStyle w:val="FirstParagraph"/>
      </w:pPr>
      <w:r>
        <w:t xml:space="preserve">While the overall performance of the Accountant is commendable, the Peer Review Report identifies a few areas for potential enhancement. It is recommended that the Accountant further develop expertise in international tax matters, given the increasing number of multinational clients in Australia Melbourne. Additionally, implementing more advanced data analytics tools could improve the efficiency and depth of financial insights provided to clients.</w:t>
      </w:r>
    </w:p>
    <w:bookmarkEnd w:id="29"/>
    <w:bookmarkStart w:id="30" w:name="conclusion"/>
    <w:p>
      <w:pPr>
        <w:pStyle w:val="Heading2"/>
      </w:pPr>
      <w:r>
        <w:t xml:space="preserve">8. Conclusion</w:t>
      </w:r>
    </w:p>
    <w:p>
      <w:pPr>
        <w:pStyle w:val="FirstParagraph"/>
      </w:pPr>
      <w:r>
        <w:t xml:space="preserve">In conclusion, this Peer Review Report affirms that the Accountant meets and, in many areas, exceeds the professional standards expected in Australia Melbourne. The Accountant’s technical skills, ethical conduct, and commitment to client service make them a valuable asset to the accounting profession. The recommendations provided are intended to support continuous improvement and ensure that the Accountant remains at the forefront of the dynamic financial landscape in Australia Melbourne.</w:t>
      </w:r>
    </w:p>
    <w:bookmarkEnd w:id="30"/>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[Accounting Firm/Body Name]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Australia Melbourne</dc:title>
  <dc:creator/>
  <dc:language>en</dc:language>
  <cp:keywords/>
  <dcterms:created xsi:type="dcterms:W3CDTF">2026-10-10T04:26:42Z</dcterms:created>
  <dcterms:modified xsi:type="dcterms:W3CDTF">2026-10-10T04:26:42Z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