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Performance Evaluation of Accountant</w:t>
      </w:r>
    </w:p>
    <w:p>
      <w:pPr>
        <w:pStyle w:val="BodyText"/>
      </w:pPr>
      <w:r>
        <w:rPr>
          <w:bCs/>
          <w:b/>
        </w:rPr>
        <w:t xml:space="preserve">Location:</w:t>
      </w:r>
      <w:r>
        <w:t xml:space="preserve"> </w:t>
      </w:r>
      <w:r>
        <w:t xml:space="preserve">Dhaka, Bangladesh</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prepared to assess the professional capabilities, technical proficiency, and ethical conduct of the designated Accountant operating within the financial district of Dhaka, Bangladesh. The purpose of this review is to ensure that the Accountant adheres to the International Financial Reporting Standards (IFRS) as adopted by Bangladesh, complies with the National Board of Revenue (NBR) regulations, and maintains the high standards expected by the Institute of Chartered Accountants of Bangladesh (ICAB).</w:t>
      </w:r>
    </w:p>
    <w:p>
      <w:pPr>
        <w:pStyle w:val="BodyText"/>
      </w:pPr>
      <w:r>
        <w:t xml:space="preserve">The review focuses on the accuracy of financial reporting, the efficiency of internal control systems, and the Accountant's ability to navigate the complex regulatory landscape specific to the Dhaka business environment. Overall, the Accountant has demonstrated a strong command of financial principles, though specific areas regarding digital transformation and tax compliance optimization require attention.</w:t>
      </w:r>
    </w:p>
    <w:bookmarkEnd w:id="21"/>
    <w:bookmarkStart w:id="22" w:name="regulatory-compliance-and-taxation"/>
    <w:p>
      <w:pPr>
        <w:pStyle w:val="Heading2"/>
      </w:pPr>
      <w:r>
        <w:t xml:space="preserve">2. Regulatory Compliance and Taxation</w:t>
      </w:r>
    </w:p>
    <w:p>
      <w:pPr>
        <w:pStyle w:val="FirstParagraph"/>
      </w:pPr>
      <w:r>
        <w:t xml:space="preserve">Operating in Bangladesh Dhaka requires a meticulous understanding of local tax laws. The Accountant was evaluated on their handling of Value Added Tax (VAT), Advance Income Tax (AIT), and Corporate Income Tax filings.</w:t>
      </w:r>
    </w:p>
    <w:p>
      <w:pPr>
        <w:pStyle w:val="BodyText"/>
      </w:pPr>
      <w:r>
        <w:rPr>
          <w:bCs/>
          <w:b/>
        </w:rPr>
        <w:t xml:space="preserve">Strengths:</w:t>
      </w:r>
      <w:r>
        <w:t xml:space="preserve"> </w:t>
      </w:r>
      <w:r>
        <w:t xml:space="preserve">The Accountant has successfully managed the submission of VAT returns via the NBR's online portal without significant penalties during the review period. The reconciliation of input and output VAT was performed with a high degree of accuracy, ensuring that the company maximized allowable credits in accordance with the VAT and Supplementary Duty Act, 2012.</w:t>
      </w:r>
    </w:p>
    <w:p>
      <w:pPr>
        <w:pStyle w:val="BodyText"/>
      </w:pPr>
      <w:r>
        <w:rPr>
          <w:bCs/>
          <w:b/>
        </w:rPr>
        <w:t xml:space="preserve">Areas for Improvement:</w:t>
      </w:r>
      <w:r>
        <w:t xml:space="preserve"> </w:t>
      </w:r>
      <w:r>
        <w:t xml:space="preserve">While statutory compliance is met, the Accountant should adopt a more proactive approach to tax planning. Given the frequent amendments to the Finance Act in Bangladesh, the Accountant must ensure that the firm is fully leveraging available tax incentives for specific industries operating in Dhaka. Furthermore, documentation for transfer pricing, if applicable, needs to be more robust to withstand potential audits by the NBR.</w:t>
      </w:r>
    </w:p>
    <w:bookmarkEnd w:id="22"/>
    <w:bookmarkStart w:id="23" w:name="financial-reporting-and-ifrs-adoption"/>
    <w:p>
      <w:pPr>
        <w:pStyle w:val="Heading2"/>
      </w:pPr>
      <w:r>
        <w:t xml:space="preserve">3. Financial Reporting and IFRS Adoption</w:t>
      </w:r>
    </w:p>
    <w:p>
      <w:pPr>
        <w:pStyle w:val="FirstParagraph"/>
      </w:pPr>
      <w:r>
        <w:t xml:space="preserve">A critical component of this Peer Review Report is the assessment of financial statement preparation. Bangladesh has fully adopted IFRS, and the Accountant is expected to apply these standards rigorously.</w:t>
      </w:r>
    </w:p>
    <w:p>
      <w:pPr>
        <w:pStyle w:val="BodyText"/>
      </w:pPr>
      <w:r>
        <w:t xml:space="preserve">The review of the quarterly financial statements indicates that the Accountant correctly applies standards regarding revenue recognition and lease accounting. The presentation of the Balance Sheet and Profit &amp; Loss Account aligns with the Companies Act, 1994, and the directives of the Bangladesh Bank, where applicable.</w:t>
      </w:r>
    </w:p>
    <w:p>
      <w:pPr>
        <w:pStyle w:val="BodyText"/>
      </w:pPr>
      <w:r>
        <w:t xml:space="preserve">However, the disclosure notes in the financial statements occasionally lack the depth required for full transparency. In the competitive market of Dhaka, stakeholders require granular data. The Accountant is advised to enhance the quality of narrative disclosures to provide better context for financial figures, thereby improving the utility of the reports for management and external auditors.</w:t>
      </w:r>
    </w:p>
    <w:bookmarkEnd w:id="23"/>
    <w:bookmarkStart w:id="24" w:name="internal-controls-and-risk-management"/>
    <w:p>
      <w:pPr>
        <w:pStyle w:val="Heading2"/>
      </w:pPr>
      <w:r>
        <w:t xml:space="preserve">4. Internal Controls and Risk Management</w:t>
      </w:r>
    </w:p>
    <w:p>
      <w:pPr>
        <w:pStyle w:val="FirstParagraph"/>
      </w:pPr>
      <w:r>
        <w:t xml:space="preserve">The integrity of financial data is paramount. This review examined the internal control mechanisms implemented by the Accountant to prevent fraud and error.</w:t>
      </w:r>
    </w:p>
    <w:p>
      <w:pPr>
        <w:pStyle w:val="BodyText"/>
      </w:pPr>
      <w:r>
        <w:t xml:space="preserve">The Accountant has established a satisfactory segregation of duties between the accounts payable, accounts receivable, and cash management functions. This is particularly important in the Dhaka business context, where cash transactions, although declining, still occur. The implementation of dual-authorization protocols for bank transfers has been effective in mitigating financial risk.</w:t>
      </w:r>
    </w:p>
    <w:p>
      <w:pPr>
        <w:pStyle w:val="BodyText"/>
      </w:pPr>
      <w:r>
        <w:rPr>
          <w:bCs/>
          <w:b/>
        </w:rPr>
        <w:t xml:space="preserve">Recommendation:</w:t>
      </w:r>
      <w:r>
        <w:t xml:space="preserve"> </w:t>
      </w:r>
      <w:r>
        <w:t xml:space="preserve">The current reliance on manual journal entries poses a risk. It is recommended that the Accountant lead the initiative to fully automate the accounting workflow using modern ERP systems. This will reduce human error and provide real-time financial visibility, which is essential for agile decision-making in the fast-paced economy of Bangladesh Dhaka.</w:t>
      </w:r>
    </w:p>
    <w:bookmarkEnd w:id="24"/>
    <w:bookmarkStart w:id="25" w:name="professional-ethics-and-conduct"/>
    <w:p>
      <w:pPr>
        <w:pStyle w:val="Heading2"/>
      </w:pPr>
      <w:r>
        <w:t xml:space="preserve">5. Professional Ethics and Conduct</w:t>
      </w:r>
    </w:p>
    <w:p>
      <w:pPr>
        <w:pStyle w:val="FirstParagraph"/>
      </w:pPr>
      <w:r>
        <w:t xml:space="preserve">Adherence to the Code of Ethics issued by the ICAB is non-negotiable. The Accountant has maintained a high standard of integrity, objectivity, and professional behavior. There were no instances of conflict of interest or breach of confidentiality observed during this review period.</w:t>
      </w:r>
    </w:p>
    <w:p>
      <w:pPr>
        <w:pStyle w:val="BodyText"/>
      </w:pPr>
      <w:r>
        <w:t xml:space="preserve">The Accountant demonstrates a commitment to professional development, regularly attending seminars on updates to Bangladeshi tax laws and accounting standards. This continuous learning is vital given the dynamic regulatory environment in the country.</w:t>
      </w:r>
    </w:p>
    <w:bookmarkEnd w:id="25"/>
    <w:bookmarkStart w:id="26" w:name="conclusion-and-final-recommendations"/>
    <w:p>
      <w:pPr>
        <w:pStyle w:val="Heading2"/>
      </w:pPr>
      <w:r>
        <w:t xml:space="preserve">6. Conclusion and Final Recommendations</w:t>
      </w:r>
    </w:p>
    <w:p>
      <w:pPr>
        <w:pStyle w:val="FirstParagraph"/>
      </w:pPr>
      <w:r>
        <w:t xml:space="preserve">In conclusion, this Peer Review Report affirms that the Accountant is competent and performs their duties in accordance with the professional standards required in Bangladesh Dhaka. The individual possesses the technical knowledge necessary to manage the financial health of the organization and ensure compliance with national laws.</w:t>
      </w:r>
    </w:p>
    <w:p>
      <w:pPr>
        <w:pStyle w:val="BodyText"/>
      </w:pPr>
      <w:r>
        <w:t xml:space="preserve">To elevate performance from satisfactory to exceptional, the following actions are recommended:</w:t>
      </w:r>
    </w:p>
    <w:p>
      <w:pPr>
        <w:numPr>
          <w:ilvl w:val="0"/>
          <w:numId w:val="1001"/>
        </w:numPr>
        <w:pStyle w:val="Compact"/>
      </w:pPr>
      <w:r>
        <w:t xml:space="preserve">Accelerate the digitalization of accounting processes to minimize manual intervention.</w:t>
      </w:r>
    </w:p>
    <w:p>
      <w:pPr>
        <w:numPr>
          <w:ilvl w:val="0"/>
          <w:numId w:val="1001"/>
        </w:numPr>
        <w:pStyle w:val="Compact"/>
      </w:pPr>
      <w:r>
        <w:t xml:space="preserve">Enhance tax planning strategies to optimize the company's tax position within the legal framework of Bangladesh.</w:t>
      </w:r>
    </w:p>
    <w:p>
      <w:pPr>
        <w:numPr>
          <w:ilvl w:val="0"/>
          <w:numId w:val="1001"/>
        </w:numPr>
        <w:pStyle w:val="Compact"/>
      </w:pPr>
      <w:r>
        <w:t xml:space="preserve">Improve the detail and clarity of financial statement disclosures to meet international best practices.</w:t>
      </w:r>
    </w:p>
    <w:p>
      <w:pPr>
        <w:pStyle w:val="FirstParagraph"/>
      </w:pPr>
      <w:r>
        <w:t xml:space="preserve">By addressing these areas, the Accountant will further strengthen the financial governance of the firm and contribute significantly to its long-term success in the Dhaka market.</w:t>
      </w:r>
    </w:p>
    <w:bookmarkEnd w:id="26"/>
    <w:p>
      <w:pPr>
        <w:pStyle w:val="BodyText"/>
      </w:pPr>
      <w:r>
        <w:rPr>
          <w:bCs/>
          <w:b/>
        </w:rPr>
        <w:t xml:space="preserve">Reviewed By:</w:t>
      </w:r>
    </w:p>
    <w:p>
      <w:pPr>
        <w:pStyle w:val="BodyText"/>
      </w:pPr>
      <w:r>
        <w:t xml:space="preserve">Senior Peer Reviewer</w:t>
      </w:r>
    </w:p>
    <w:p>
      <w:pPr>
        <w:pStyle w:val="BodyText"/>
      </w:pPr>
      <w:r>
        <w:t xml:space="preserve">ICAB Member</w:t>
      </w:r>
    </w:p>
    <w:p>
      <w:pPr>
        <w:pStyle w:val="BodyText"/>
      </w:pPr>
      <w:r>
        <w:rPr>
          <w:bCs/>
          <w:b/>
        </w:rPr>
        <w:t xml:space="preserve">Reviewed For:</w:t>
      </w:r>
    </w:p>
    <w:p>
      <w:pPr>
        <w:pStyle w:val="BodyText"/>
      </w:pPr>
      <w:r>
        <w:t xml:space="preserve">Accountant</w:t>
      </w:r>
    </w:p>
    <w:p>
      <w:pPr>
        <w:pStyle w:val="BodyText"/>
      </w:pPr>
      <w:r>
        <w:t xml:space="preserve">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Bangladesh Dhaka</dc:title>
  <dc:creator/>
  <dc:language>en</dc:language>
  <cp:keywords/>
  <dcterms:created xsi:type="dcterms:W3CDTF">2026-10-10T04:34:36Z</dcterms:created>
  <dcterms:modified xsi:type="dcterms:W3CDTF">2026-10-10T04:34:36Z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