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Accountant</w:t>
      </w:r>
      <w:r>
        <w:t xml:space="preserve"> </w:t>
      </w:r>
      <w:r>
        <w:t xml:space="preserve">-</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Practice Quality Assessment</w:t>
      </w:r>
    </w:p>
    <w:p>
      <w:pPr>
        <w:pStyle w:val="BodyText"/>
      </w:pPr>
      <w:r>
        <w:rPr>
          <w:bCs/>
          <w:b/>
        </w:rPr>
        <w:t xml:space="preserve">Location:</w:t>
      </w:r>
      <w:r>
        <w:t xml:space="preserve"> </w:t>
      </w:r>
      <w:r>
        <w:t xml:space="preserve">Belgium Brussels</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professional standards mandated by the Institute of Certified Accountants of Belgium (ICAB) and the specific regulatory requirements applicable within the Brussels-Capital Region. The primary objective of this review is to evaluate the professional competence, ethical adherence, and quality of work performed by the Accountant under review.</w:t>
      </w:r>
    </w:p>
    <w:p>
      <w:pPr>
        <w:pStyle w:val="BodyText"/>
      </w:pPr>
      <w:r>
        <w:t xml:space="preserve">Given the unique economic landscape of Belgium Brussels, which serves as a hub for international organizations, EU institutions, and multinational corporations, the standards for accounting practice are exceptionally rigorous. This report assesses whether the Accountant’s methodologies align with International Financial Reporting Standards (IFRS), Belgian GAAP, and the specific tax regulations enforced by the Belgian Federal Public Service Finance.</w:t>
      </w:r>
    </w:p>
    <w:bookmarkEnd w:id="21"/>
    <w:bookmarkStart w:id="22" w:name="subject-profile"/>
    <w:p>
      <w:pPr>
        <w:pStyle w:val="Heading2"/>
      </w:pPr>
      <w:r>
        <w:t xml:space="preserve">2. Subject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 of Accountant</w:t>
            </w:r>
          </w:p>
        </w:tc>
        <w:tc>
          <w:tcPr/>
          <w:p>
            <w:pPr>
              <w:pStyle w:val="Compact"/>
              <w:jc w:val="left"/>
            </w:pPr>
            <w:r>
              <w:t xml:space="preserve">[Name Redacted for Confidentiality]</w:t>
            </w:r>
          </w:p>
        </w:tc>
      </w:tr>
      <w:tr>
        <w:tc>
          <w:tcPr/>
          <w:p>
            <w:pPr>
              <w:pStyle w:val="Compact"/>
              <w:jc w:val="left"/>
            </w:pPr>
            <w:r>
              <w:t xml:space="preserve">Registration Number</w:t>
            </w:r>
          </w:p>
        </w:tc>
        <w:tc>
          <w:tcPr/>
          <w:p>
            <w:pPr>
              <w:pStyle w:val="Compact"/>
              <w:jc w:val="left"/>
            </w:pPr>
            <w:r>
              <w:t xml:space="preserve">[ICAB Registration Number]</w:t>
            </w:r>
          </w:p>
        </w:tc>
      </w:tr>
      <w:tr>
        <w:tc>
          <w:tcPr/>
          <w:p>
            <w:pPr>
              <w:pStyle w:val="Compact"/>
              <w:jc w:val="left"/>
            </w:pPr>
            <w:r>
              <w:t xml:space="preserve">Practice Location</w:t>
            </w:r>
          </w:p>
        </w:tc>
        <w:tc>
          <w:tcPr/>
          <w:p>
            <w:pPr>
              <w:pStyle w:val="Compact"/>
              <w:jc w:val="left"/>
            </w:pPr>
            <w:r>
              <w:t xml:space="preserve">Brussels, Belgium</w:t>
            </w:r>
          </w:p>
        </w:tc>
      </w:tr>
      <w:tr>
        <w:tc>
          <w:tcPr/>
          <w:p>
            <w:pPr>
              <w:pStyle w:val="Compact"/>
              <w:jc w:val="left"/>
            </w:pPr>
            <w:r>
              <w:t xml:space="preserve">Primary Clientele</w:t>
            </w:r>
          </w:p>
        </w:tc>
        <w:tc>
          <w:tcPr/>
          <w:p>
            <w:pPr>
              <w:pStyle w:val="Compact"/>
              <w:jc w:val="left"/>
            </w:pPr>
            <w:r>
              <w:t xml:space="preserve">SMEs and International Entities in Brussels</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3" w:name="X92759ba2fcbdc7762432467582356b68024a6e4"/>
    <w:p>
      <w:pPr>
        <w:pStyle w:val="Heading2"/>
      </w:pPr>
      <w:r>
        <w:t xml:space="preserve">3. Regulatory Compliance in Belgium Brussels</w:t>
      </w:r>
    </w:p>
    <w:p>
      <w:pPr>
        <w:pStyle w:val="FirstParagraph"/>
      </w:pPr>
      <w:r>
        <w:t xml:space="preserve">A critical component of this Peer Review Report is the assessment of compliance with local and national regulations. The Accountant operates in Belgium Brussels, a jurisdiction characterized by complex bilingual administrative requirements (French and Dutch) and strict adherence to EU directives.</w:t>
      </w:r>
    </w:p>
    <w:p>
      <w:pPr>
        <w:pStyle w:val="BodyText"/>
      </w:pPr>
      <w:r>
        <w:t xml:space="preserve">The review confirms that the Accountant maintains up-to-date knowledge of the Belgian Corporate Income Tax (CIT) laws and Value Added Tax (VAT) regulations specific to the Brussels region. Furthermore, the Accountant demonstrates a robust understanding of the anti-money laundering (AML) directives enforced by the Belgian Financial Intelligence Processing Unit (CTIF-CFI). The documentation reviewed indicates that client due diligence procedures are executed with the diligence required for a financial professional operating in the capital of the European Union.</w:t>
      </w:r>
    </w:p>
    <w:bookmarkEnd w:id="23"/>
    <w:bookmarkStart w:id="24" w:name="assessment-of-technical-competence"/>
    <w:p>
      <w:pPr>
        <w:pStyle w:val="Heading2"/>
      </w:pPr>
      <w:r>
        <w:t xml:space="preserve">4. Assessment of Technical Competence</w:t>
      </w:r>
    </w:p>
    <w:p>
      <w:pPr>
        <w:pStyle w:val="FirstParagraph"/>
      </w:pPr>
      <w:r>
        <w:t xml:space="preserve">The technical proficiency of the Accountant was evaluated through a sample of audit files, tax returns, and financial statements prepared during the review period. The findings are as follows:</w:t>
      </w:r>
    </w:p>
    <w:p>
      <w:pPr>
        <w:numPr>
          <w:ilvl w:val="0"/>
          <w:numId w:val="1001"/>
        </w:numPr>
        <w:pStyle w:val="Compact"/>
      </w:pPr>
      <w:r>
        <w:rPr>
          <w:bCs/>
          <w:b/>
        </w:rPr>
        <w:t xml:space="preserve">Financial Reporting:</w:t>
      </w:r>
      <w:r>
        <w:t xml:space="preserve"> </w:t>
      </w:r>
      <w:r>
        <w:t xml:space="preserve">The Accountant consistently applies IFRS standards correctly. The financial statements prepared for clients in Belgium Brussels show accurate consolidation techniques and proper disclosure of related-party transactions, which is vital given the high density of holding companies in the region.</w:t>
      </w:r>
    </w:p>
    <w:p>
      <w:pPr>
        <w:numPr>
          <w:ilvl w:val="0"/>
          <w:numId w:val="1001"/>
        </w:numPr>
        <w:pStyle w:val="Compact"/>
      </w:pPr>
      <w:r>
        <w:rPr>
          <w:bCs/>
          <w:b/>
        </w:rPr>
        <w:t xml:space="preserve">Tax Advisory:</w:t>
      </w:r>
      <w:r>
        <w:t xml:space="preserve"> </w:t>
      </w:r>
      <w:r>
        <w:t xml:space="preserve">The Accountant demonstrates expertise in navigating the Belgian tax code. Specific attention was paid to the handling of withholding taxes and the application of double taxation treaties, a frequent requirement for the expatriate workforce common in Brussels.</w:t>
      </w:r>
    </w:p>
    <w:p>
      <w:pPr>
        <w:numPr>
          <w:ilvl w:val="0"/>
          <w:numId w:val="1001"/>
        </w:numPr>
        <w:pStyle w:val="Compact"/>
      </w:pPr>
      <w:r>
        <w:rPr>
          <w:bCs/>
          <w:b/>
        </w:rPr>
        <w:t xml:space="preserve">Audit Methodology:</w:t>
      </w:r>
      <w:r>
        <w:t xml:space="preserve"> </w:t>
      </w:r>
      <w:r>
        <w:t xml:space="preserve">The audit planning and execution phases adhere to International Standards on Auditing (ISA). Risk assessment procedures are documented thoroughly, reflecting an understanding of the specific risks associated with the Brussels business environment.</w:t>
      </w:r>
    </w:p>
    <w:bookmarkEnd w:id="24"/>
    <w:bookmarkStart w:id="25" w:name="quality-control-and-internal-procedures"/>
    <w:p>
      <w:pPr>
        <w:pStyle w:val="Heading2"/>
      </w:pPr>
      <w:r>
        <w:t xml:space="preserve">5. Quality Control and Internal Procedures</w:t>
      </w:r>
    </w:p>
    <w:p>
      <w:pPr>
        <w:pStyle w:val="FirstParagraph"/>
      </w:pPr>
      <w:r>
        <w:t xml:space="preserve">This Peer Review Report examines the internal quality control systems established by the Accountant. Effective quality control is essential to maintain public trust in the accounting profession in Belgium Brussels.</w:t>
      </w:r>
    </w:p>
    <w:p>
      <w:pPr>
        <w:pStyle w:val="BodyText"/>
      </w:pPr>
      <w:r>
        <w:t xml:space="preserve">The Accountant has implemented a structured review process where all significant engagements are subject to a second-level review by a senior partner. This ensures that errors are identified and corrected before reports are issued. Additionally, the firm maintains a comprehensive library of regulatory updates, ensuring that the team is informed of changes in Belgian fiscal law and EU financial regulations. The documentation of these procedures is clear, accessible, and consistently applied.</w:t>
      </w:r>
    </w:p>
    <w:bookmarkEnd w:id="25"/>
    <w:bookmarkStart w:id="26" w:name="X4ce211acb8b02978b825403f312638d11fa1afd"/>
    <w:p>
      <w:pPr>
        <w:pStyle w:val="Heading2"/>
      </w:pPr>
      <w:r>
        <w:t xml:space="preserve">6. Ethical Standards and Professional Conduct</w:t>
      </w:r>
    </w:p>
    <w:p>
      <w:pPr>
        <w:pStyle w:val="FirstParagraph"/>
      </w:pPr>
      <w:r>
        <w:t xml:space="preserve">Adherence to the Code of Ethics for Professional Accountants is non-negotiable. The review assessed the Accountant’s independence, integrity, and objectivity.</w:t>
      </w:r>
    </w:p>
    <w:p>
      <w:pPr>
        <w:pStyle w:val="BodyText"/>
      </w:pPr>
      <w:r>
        <w:t xml:space="preserve">No conflicts of interest were identified in the sampled engagements. The Accountant maintains strict confidentiality regarding client data, complying with the General Data Protection Regulation (GDPR) as enforced in Belgium. The professional relationship with clients in Belgium Brussels is characterized by transparency and a commitment to high ethical standards, reinforcing the reputation of the accounting profession in the region.</w:t>
      </w:r>
    </w:p>
    <w:bookmarkEnd w:id="26"/>
    <w:bookmarkStart w:id="27" w:name="recommendations"/>
    <w:p>
      <w:pPr>
        <w:pStyle w:val="Heading2"/>
      </w:pPr>
      <w:r>
        <w:t xml:space="preserve">7. Recommendations</w:t>
      </w:r>
    </w:p>
    <w:p>
      <w:pPr>
        <w:pStyle w:val="FirstParagraph"/>
      </w:pPr>
      <w:r>
        <w:t xml:space="preserve">While the overall performance of the Accountant is rated as satisfactory to good, this Peer Review Report offers the following recommendations for continuous improvement:</w:t>
      </w:r>
    </w:p>
    <w:p>
      <w:pPr>
        <w:numPr>
          <w:ilvl w:val="0"/>
          <w:numId w:val="1002"/>
        </w:numPr>
        <w:pStyle w:val="Compact"/>
      </w:pPr>
      <w:r>
        <w:rPr>
          <w:bCs/>
          <w:b/>
        </w:rPr>
        <w:t xml:space="preserve">Digital Transformation:</w:t>
      </w:r>
      <w:r>
        <w:t xml:space="preserve"> </w:t>
      </w:r>
      <w:r>
        <w:t xml:space="preserve">Accelerate the adoption of cloud-based accounting software to enhance efficiency and real-time reporting capabilities for clients in the fast-paced Brussels market.</w:t>
      </w:r>
    </w:p>
    <w:p>
      <w:pPr>
        <w:numPr>
          <w:ilvl w:val="0"/>
          <w:numId w:val="1002"/>
        </w:numPr>
        <w:pStyle w:val="Compact"/>
      </w:pPr>
      <w:r>
        <w:rPr>
          <w:bCs/>
          <w:b/>
        </w:rPr>
        <w:t xml:space="preserve">Specialized Training:</w:t>
      </w:r>
      <w:r>
        <w:t xml:space="preserve"> </w:t>
      </w:r>
      <w:r>
        <w:t xml:space="preserve">Pursue advanced training in EU state aid regulations, as this is an increasingly relevant area for clients operating within the Brussels-Capital Region.</w:t>
      </w:r>
    </w:p>
    <w:p>
      <w:pPr>
        <w:numPr>
          <w:ilvl w:val="0"/>
          <w:numId w:val="1002"/>
        </w:numPr>
        <w:pStyle w:val="Compact"/>
      </w:pPr>
      <w:r>
        <w:rPr>
          <w:bCs/>
          <w:b/>
        </w:rPr>
        <w:t xml:space="preserve">Documentation Enhancement:</w:t>
      </w:r>
      <w:r>
        <w:t xml:space="preserve"> </w:t>
      </w:r>
      <w:r>
        <w:t xml:space="preserve">Further standardize the documentation of tax advisory opinions to ensure they are defensible in the event of a review by the Belgian tax authorities.</w:t>
      </w:r>
    </w:p>
    <w:bookmarkEnd w:id="27"/>
    <w:bookmarkStart w:id="28" w:name="conclusion"/>
    <w:p>
      <w:pPr>
        <w:pStyle w:val="Heading2"/>
      </w:pPr>
      <w:r>
        <w:t xml:space="preserve">8. Conclusion</w:t>
      </w:r>
    </w:p>
    <w:p>
      <w:pPr>
        <w:pStyle w:val="FirstParagraph"/>
      </w:pPr>
      <w:r>
        <w:t xml:space="preserve">Based on the evidence gathered and analyzed, this Peer Review Report concludes that the Accountant meets the professional standards required by the Institute of Certified Accountants of Belgium. The Accountant demonstrates the necessary technical competence, ethical integrity, and regulatory awareness to serve clients effectively in Belgium Brussels. The practice is well-managed, and the quality of work is consistent with the expectations of the profession.</w:t>
      </w:r>
    </w:p>
    <w:p>
      <w:pPr>
        <w:pStyle w:val="BodyText"/>
      </w:pPr>
      <w:r>
        <w:t xml:space="preserve">It is recommended that the Accountant continues to engage in professional development to stay abreast of the evolving regulatory landscape in Belgium and the European Union.</w:t>
      </w:r>
    </w:p>
    <w:bookmarkEnd w:id="28"/>
    <w:p>
      <w:pPr>
        <w:pStyle w:val="BodyText"/>
      </w:pPr>
      <w:r>
        <w:rPr>
          <w:bCs/>
          <w:b/>
        </w:rPr>
        <w:t xml:space="preserve">Reviewed by:</w:t>
      </w:r>
    </w:p>
    <w:p>
      <w:pPr>
        <w:pStyle w:val="BodyText"/>
      </w:pPr>
      <w:r>
        <w:t xml:space="preserve">__________________________</w:t>
      </w:r>
    </w:p>
    <w:p>
      <w:pPr>
        <w:pStyle w:val="BodyText"/>
      </w:pPr>
      <w:r>
        <w:t xml:space="preserve">Senior Peer Reviewer</w:t>
      </w:r>
    </w:p>
    <w:p>
      <w:pPr>
        <w:pStyle w:val="BodyText"/>
      </w:pPr>
      <w:r>
        <w:t xml:space="preserve">Institute of Certified Accountants of Belgium</w:t>
      </w:r>
    </w:p>
    <w:p>
      <w:pPr>
        <w:pStyle w:val="BodyText"/>
      </w:pPr>
      <w:r>
        <w:t xml:space="preserve">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Accountant - Belgium Brussels</dc:title>
  <dc:creator/>
  <dc:language>en</dc:language>
  <cp:keywords/>
  <dcterms:created xsi:type="dcterms:W3CDTF">2026-10-10T01:58:14Z</dcterms:created>
  <dcterms:modified xsi:type="dcterms:W3CDTF">2026-10-10T01:58:14Z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