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Accounting</w:t>
      </w:r>
      <w:r>
        <w:t xml:space="preserve"> </w:t>
      </w:r>
      <w:r>
        <w:t xml:space="preserve">Practice</w:t>
      </w:r>
      <w:r>
        <w:t xml:space="preserve"> </w:t>
      </w:r>
      <w:r>
        <w:t xml:space="preserve">in</w:t>
      </w:r>
      <w:r>
        <w:t xml:space="preserve"> </w:t>
      </w:r>
      <w:r>
        <w:t xml:space="preserve">Canada</w:t>
      </w:r>
      <w:r>
        <w:t xml:space="preserve"> </w:t>
      </w:r>
      <w:r>
        <w:t xml:space="preserve">Montreal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Quality Assurance Assessment of Accounting Practice</w:t>
      </w:r>
    </w:p>
    <w:p>
      <w:pPr>
        <w:pStyle w:val="BodyText"/>
      </w:pPr>
      <w:r>
        <w:rPr>
          <w:bCs/>
          <w:b/>
        </w:rPr>
        <w:t xml:space="preserve">Jurisdiction:</w:t>
      </w:r>
      <w:r>
        <w:t xml:space="preserve"> </w:t>
      </w:r>
      <w:r>
        <w:t xml:space="preserve">Canada Montreal (Quebec)</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in accordance with the standards established by the Institut des comptables agréés du Québec (ICAQ) and the Canadian Institute of Chartered Accountants (CICA). The purpose of this review is to evaluate the quality of work performed by the Accountant under review, specifically focusing on compliance with professional standards, ethical requirements, and regulatory obligations applicable within the Canada Montreal region.</w:t>
      </w:r>
    </w:p>
    <w:p>
      <w:pPr>
        <w:pStyle w:val="BodyText"/>
      </w:pPr>
      <w:r>
        <w:t xml:space="preserve">The scope of this Peer Review encompasses a sample of audit, review, and compilation engagements completed by the firm during the fiscal year ending December 31, 2022. Special attention has been paid to the nuances of Quebec civil law, bilingual reporting requirements, and specific tax regulations relevant to businesses operating in Montreal. The objective is to ensure that the Accountant maintains the high level of professional competence expected by the public and regulatory bodies in Canada.</w:t>
      </w:r>
    </w:p>
    <w:bookmarkEnd w:id="21"/>
    <w:bookmarkStart w:id="22" w:name="regulatory-framework-and-standards"/>
    <w:p>
      <w:pPr>
        <w:pStyle w:val="Heading2"/>
      </w:pPr>
      <w:r>
        <w:t xml:space="preserve">2. Regulatory Framework and Standards</w:t>
      </w:r>
    </w:p>
    <w:p>
      <w:pPr>
        <w:pStyle w:val="FirstParagraph"/>
      </w:pPr>
      <w:r>
        <w:t xml:space="preserve">The evaluation was conducted based on the following key standards and regulations:</w:t>
      </w:r>
    </w:p>
    <w:p>
      <w:pPr>
        <w:numPr>
          <w:ilvl w:val="0"/>
          <w:numId w:val="1001"/>
        </w:numPr>
        <w:pStyle w:val="Compact"/>
      </w:pPr>
      <w:r>
        <w:rPr>
          <w:bCs/>
          <w:b/>
        </w:rPr>
        <w:t xml:space="preserve">Canadian Auditing Standards (CAS):</w:t>
      </w:r>
      <w:r>
        <w:t xml:space="preserve"> </w:t>
      </w:r>
      <w:r>
        <w:t xml:space="preserve">Applicable to audit engagements.</w:t>
      </w:r>
    </w:p>
    <w:p>
      <w:pPr>
        <w:numPr>
          <w:ilvl w:val="0"/>
          <w:numId w:val="1001"/>
        </w:numPr>
        <w:pStyle w:val="Compact"/>
      </w:pPr>
      <w:r>
        <w:rPr>
          <w:bCs/>
          <w:b/>
        </w:rPr>
        <w:t xml:space="preserve">Canadian Accounting Standards for Private Enterprises (ASPE) and IFRS:</w:t>
      </w:r>
      <w:r>
        <w:t xml:space="preserve"> </w:t>
      </w:r>
      <w:r>
        <w:t xml:space="preserve">Applicable to financial reporting.</w:t>
      </w:r>
    </w:p>
    <w:p>
      <w:pPr>
        <w:numPr>
          <w:ilvl w:val="0"/>
          <w:numId w:val="1001"/>
        </w:numPr>
        <w:pStyle w:val="Compact"/>
      </w:pPr>
      <w:r>
        <w:rPr>
          <w:bCs/>
          <w:b/>
        </w:rPr>
        <w:t xml:space="preserve">Code of Professional Conduct:</w:t>
      </w:r>
      <w:r>
        <w:t xml:space="preserve"> </w:t>
      </w:r>
      <w:r>
        <w:t xml:space="preserve">Issued by the ICAQ, governing ethical behavior.</w:t>
      </w:r>
    </w:p>
    <w:p>
      <w:pPr>
        <w:numPr>
          <w:ilvl w:val="0"/>
          <w:numId w:val="1001"/>
        </w:numPr>
        <w:pStyle w:val="Compact"/>
      </w:pPr>
      <w:r>
        <w:rPr>
          <w:bCs/>
          <w:b/>
        </w:rPr>
        <w:t xml:space="preserve">Quebec Civil Code:</w:t>
      </w:r>
      <w:r>
        <w:t xml:space="preserve"> </w:t>
      </w:r>
      <w:r>
        <w:t xml:space="preserve">Relevant to corporate governance and legal structures in Montreal.</w:t>
      </w:r>
    </w:p>
    <w:p>
      <w:pPr>
        <w:numPr>
          <w:ilvl w:val="0"/>
          <w:numId w:val="1001"/>
        </w:numPr>
        <w:pStyle w:val="Compact"/>
      </w:pPr>
      <w:r>
        <w:rPr>
          <w:bCs/>
          <w:b/>
        </w:rPr>
        <w:t xml:space="preserve">Bill 96 Compliance:</w:t>
      </w:r>
      <w:r>
        <w:t xml:space="preserve"> </w:t>
      </w:r>
      <w:r>
        <w:t xml:space="preserve">Ensuring proper use of French in official business communications and documentation.</w:t>
      </w:r>
    </w:p>
    <w:p>
      <w:pPr>
        <w:pStyle w:val="FirstParagraph"/>
      </w:pPr>
      <w:r>
        <w:t xml:space="preserve">The Accountant is required to adhere strictly to these standards to maintain their license to practice in Quebec. The Peer Review process is a critical mechanism for self-regulation within the accounting profession in Canada, ensuring that practitioners in Montreal meet the rigorous demands of the local and national economic environment.</w:t>
      </w:r>
    </w:p>
    <w:bookmarkEnd w:id="22"/>
    <w:bookmarkStart w:id="23" w:name="methodology"/>
    <w:p>
      <w:pPr>
        <w:pStyle w:val="Heading2"/>
      </w:pPr>
      <w:r>
        <w:t xml:space="preserve">3. Methodology</w:t>
      </w:r>
    </w:p>
    <w:p>
      <w:pPr>
        <w:pStyle w:val="FirstParagraph"/>
      </w:pPr>
      <w:r>
        <w:t xml:space="preserve">The Peer Review was conducted by an independent reviewer appointed by the ICAQ. The methodology involved:</w:t>
      </w:r>
    </w:p>
    <w:p>
      <w:pPr>
        <w:numPr>
          <w:ilvl w:val="0"/>
          <w:numId w:val="1002"/>
        </w:numPr>
        <w:pStyle w:val="Compact"/>
      </w:pPr>
      <w:r>
        <w:rPr>
          <w:bCs/>
          <w:b/>
        </w:rPr>
        <w:t xml:space="preserve">Document Review:</w:t>
      </w:r>
      <w:r>
        <w:t xml:space="preserve"> </w:t>
      </w:r>
      <w:r>
        <w:t xml:space="preserve">Examination of working papers, financial statements, and management letters for a selected sample of clients.</w:t>
      </w:r>
    </w:p>
    <w:p>
      <w:pPr>
        <w:numPr>
          <w:ilvl w:val="0"/>
          <w:numId w:val="1002"/>
        </w:numPr>
        <w:pStyle w:val="Compact"/>
      </w:pPr>
      <w:r>
        <w:rPr>
          <w:bCs/>
          <w:b/>
        </w:rPr>
        <w:t xml:space="preserve">Interviews:</w:t>
      </w:r>
      <w:r>
        <w:t xml:space="preserve"> </w:t>
      </w:r>
      <w:r>
        <w:t xml:space="preserve">Discussions with the Accountant and key staff members regarding their understanding of standards and internal quality control procedures.</w:t>
      </w:r>
    </w:p>
    <w:p>
      <w:pPr>
        <w:numPr>
          <w:ilvl w:val="0"/>
          <w:numId w:val="1002"/>
        </w:numPr>
        <w:pStyle w:val="Compact"/>
      </w:pPr>
      <w:r>
        <w:rPr>
          <w:bCs/>
          <w:b/>
        </w:rPr>
        <w:t xml:space="preserve">Compliance Check:</w:t>
      </w:r>
      <w:r>
        <w:t xml:space="preserve"> </w:t>
      </w:r>
      <w:r>
        <w:t xml:space="preserve">Verification of continuing professional development (CPD) hours and adherence to ethical guidelines.</w:t>
      </w:r>
    </w:p>
    <w:p>
      <w:pPr>
        <w:numPr>
          <w:ilvl w:val="0"/>
          <w:numId w:val="1002"/>
        </w:numPr>
        <w:pStyle w:val="Compact"/>
      </w:pPr>
      <w:r>
        <w:rPr>
          <w:bCs/>
          <w:b/>
        </w:rPr>
        <w:t xml:space="preserve">Local Context Assessment:</w:t>
      </w:r>
      <w:r>
        <w:t xml:space="preserve"> </w:t>
      </w:r>
      <w:r>
        <w:t xml:space="preserve">Evaluation of how well the Accountant addresses specific issues faced by Montreal-based businesses, such as bilingualism, provincial tax laws, and civil law implications.</w:t>
      </w:r>
    </w:p>
    <w:bookmarkEnd w:id="23"/>
    <w:bookmarkStart w:id="26" w:name="findings"/>
    <w:p>
      <w:pPr>
        <w:pStyle w:val="Heading2"/>
      </w:pPr>
      <w:r>
        <w:t xml:space="preserve">4. Findings</w:t>
      </w:r>
    </w:p>
    <w:bookmarkStart w:id="24" w:name="strengths"/>
    <w:p>
      <w:pPr>
        <w:pStyle w:val="Heading3"/>
      </w:pPr>
      <w:r>
        <w:t xml:space="preserve">4.1 Strengths</w:t>
      </w:r>
    </w:p>
    <w:p>
      <w:pPr>
        <w:pStyle w:val="FirstParagraph"/>
      </w:pPr>
      <w:r>
        <w:t xml:space="preserve">The Accountant demonstrated a strong understanding of Canadian accounting principles and effectively applied them to the engagements reviewed. The working papers were generally well-organized, providing sufficient evidence to support the conclusions reached. The firm showed a commendable commitment to bilingualism, with all client communications and reports available in both English and French, which is essential for serving the diverse business community in Canada Montreal.</w:t>
      </w:r>
    </w:p>
    <w:p>
      <w:pPr>
        <w:pStyle w:val="BodyText"/>
      </w:pPr>
      <w:r>
        <w:t xml:space="preserve">Additionally, the Accountant exhibited a high level of ethical integrity, maintaining client confidentiality and avoiding conflicts of interest. The firm’s internal quality control policies were robust, with regular training sessions for staff on updates to accounting standards and tax laws.</w:t>
      </w:r>
    </w:p>
    <w:bookmarkEnd w:id="24"/>
    <w:bookmarkStart w:id="25" w:name="areas-for-improvement"/>
    <w:p>
      <w:pPr>
        <w:pStyle w:val="Heading3"/>
      </w:pPr>
      <w:r>
        <w:t xml:space="preserve">4.2 Areas for Improvement</w:t>
      </w:r>
    </w:p>
    <w:p>
      <w:pPr>
        <w:pStyle w:val="FirstParagraph"/>
      </w:pPr>
      <w:r>
        <w:t xml:space="preserve">While the overall quality of work was satisfactory, the Peer Review identified several areas where improvements are necessary:</w:t>
      </w:r>
    </w:p>
    <w:p>
      <w:pPr>
        <w:numPr>
          <w:ilvl w:val="0"/>
          <w:numId w:val="1003"/>
        </w:numPr>
        <w:pStyle w:val="Compact"/>
      </w:pPr>
      <w:r>
        <w:rPr>
          <w:bCs/>
          <w:b/>
        </w:rPr>
        <w:t xml:space="preserve">Documentation of Risk Assessment:</w:t>
      </w:r>
      <w:r>
        <w:t xml:space="preserve"> </w:t>
      </w:r>
      <w:r>
        <w:t xml:space="preserve">In some audit engagements, the documentation of risk assessment procedures was insufficient. The Accountant should ensure that all identified risks are thoroughly documented and that appropriate responses are recorded in the working papers.</w:t>
      </w:r>
    </w:p>
    <w:p>
      <w:pPr>
        <w:numPr>
          <w:ilvl w:val="0"/>
          <w:numId w:val="1003"/>
        </w:numPr>
        <w:pStyle w:val="Compact"/>
      </w:pPr>
      <w:r>
        <w:rPr>
          <w:bCs/>
          <w:b/>
        </w:rPr>
        <w:t xml:space="preserve">Compliance with Bill 96:</w:t>
      </w:r>
      <w:r>
        <w:t xml:space="preserve"> </w:t>
      </w:r>
      <w:r>
        <w:t xml:space="preserve">Although bilingualism was generally well-handled, there were instances where certain internal documents were only available in English. To fully comply with Quebec’s language laws, all official documents should be available in French.</w:t>
      </w:r>
    </w:p>
    <w:p>
      <w:pPr>
        <w:numPr>
          <w:ilvl w:val="0"/>
          <w:numId w:val="1003"/>
        </w:numPr>
        <w:pStyle w:val="Compact"/>
      </w:pPr>
      <w:r>
        <w:rPr>
          <w:bCs/>
          <w:b/>
        </w:rPr>
        <w:t xml:space="preserve">Use of Technology:</w:t>
      </w:r>
      <w:r>
        <w:t xml:space="preserve"> </w:t>
      </w:r>
      <w:r>
        <w:t xml:space="preserve">The firm could benefit from adopting more advanced accounting software and data analytics tools to enhance the efficiency and accuracy of their services. This is particularly important in a competitive market like Montreal.</w:t>
      </w:r>
    </w:p>
    <w:p>
      <w:pPr>
        <w:numPr>
          <w:ilvl w:val="0"/>
          <w:numId w:val="1003"/>
        </w:numPr>
        <w:pStyle w:val="Compact"/>
      </w:pPr>
      <w:r>
        <w:rPr>
          <w:bCs/>
          <w:b/>
        </w:rPr>
        <w:t xml:space="preserve">Continuing Professional Development:</w:t>
      </w:r>
      <w:r>
        <w:t xml:space="preserve"> </w:t>
      </w:r>
      <w:r>
        <w:t xml:space="preserve">While the Accountant met the minimum CPD requirements, there is room for more specialized training in areas such as international tax law and forensic accounting, which are increasingly relevant in today’s globalized economy.</w:t>
      </w:r>
    </w:p>
    <w:bookmarkEnd w:id="25"/>
    <w:bookmarkEnd w:id="26"/>
    <w:bookmarkStart w:id="27" w:name="recommendations"/>
    <w:p>
      <w:pPr>
        <w:pStyle w:val="Heading2"/>
      </w:pPr>
      <w:r>
        <w:t xml:space="preserve">5. Recommendations</w:t>
      </w:r>
    </w:p>
    <w:p>
      <w:pPr>
        <w:pStyle w:val="FirstParagraph"/>
      </w:pPr>
      <w:r>
        <w:t xml:space="preserve">Based on the findings of this Peer Review, the following recommendations are made to the Accountant:</w:t>
      </w:r>
    </w:p>
    <w:p>
      <w:pPr>
        <w:numPr>
          <w:ilvl w:val="0"/>
          <w:numId w:val="1004"/>
        </w:numPr>
        <w:pStyle w:val="Compact"/>
      </w:pPr>
      <w:r>
        <w:rPr>
          <w:bCs/>
          <w:b/>
        </w:rPr>
        <w:t xml:space="preserve">Enhance Documentation Practices:</w:t>
      </w:r>
      <w:r>
        <w:t xml:space="preserve"> </w:t>
      </w:r>
      <w:r>
        <w:t xml:space="preserve">Implement a more rigorous documentation process for risk assessment and other critical audit procedures. Consider developing standardized templates to ensure consistency across all engagements.</w:t>
      </w:r>
    </w:p>
    <w:p>
      <w:pPr>
        <w:numPr>
          <w:ilvl w:val="0"/>
          <w:numId w:val="1004"/>
        </w:numPr>
        <w:pStyle w:val="Compact"/>
      </w:pPr>
      <w:r>
        <w:rPr>
          <w:bCs/>
          <w:b/>
        </w:rPr>
        <w:t xml:space="preserve">Strengthen Language Compliance:</w:t>
      </w:r>
      <w:r>
        <w:t xml:space="preserve"> </w:t>
      </w:r>
      <w:r>
        <w:t xml:space="preserve">Conduct a thorough review of all internal and external documents to ensure full compliance with Bill 96. Provide additional training to staff on the importance of bilingualism in the Quebec context.</w:t>
      </w:r>
    </w:p>
    <w:p>
      <w:pPr>
        <w:numPr>
          <w:ilvl w:val="0"/>
          <w:numId w:val="1004"/>
        </w:numPr>
        <w:pStyle w:val="Compact"/>
      </w:pPr>
      <w:r>
        <w:rPr>
          <w:bCs/>
          <w:b/>
        </w:rPr>
        <w:t xml:space="preserve">Invest in Technology:</w:t>
      </w:r>
      <w:r>
        <w:t xml:space="preserve"> </w:t>
      </w:r>
      <w:r>
        <w:t xml:space="preserve">Allocate resources to upgrade the firm’s technology infrastructure. This will not only improve efficiency but also enhance the quality of services provided to clients in Canada Montreal.</w:t>
      </w:r>
    </w:p>
    <w:p>
      <w:pPr>
        <w:numPr>
          <w:ilvl w:val="0"/>
          <w:numId w:val="1004"/>
        </w:numPr>
        <w:pStyle w:val="Compact"/>
      </w:pPr>
      <w:r>
        <w:rPr>
          <w:bCs/>
          <w:b/>
        </w:rPr>
        <w:t xml:space="preserve">Pursue Specialized Training:</w:t>
      </w:r>
      <w:r>
        <w:t xml:space="preserve"> </w:t>
      </w:r>
      <w:r>
        <w:t xml:space="preserve">Encourage staff to pursue advanced certifications and training in specialized areas of accounting. This will help the firm stay competitive and better serve the evolving needs of its clients.</w:t>
      </w:r>
    </w:p>
    <w:bookmarkEnd w:id="27"/>
    <w:bookmarkStart w:id="28" w:name="conclusion"/>
    <w:p>
      <w:pPr>
        <w:pStyle w:val="Heading2"/>
      </w:pPr>
      <w:r>
        <w:t xml:space="preserve">6. Conclusion</w:t>
      </w:r>
    </w:p>
    <w:p>
      <w:pPr>
        <w:pStyle w:val="FirstParagraph"/>
      </w:pPr>
      <w:r>
        <w:t xml:space="preserve">In conclusion, this Peer Review Report indicates that the Accountant generally maintains a high standard of professional practice. However, there are specific areas where improvements are needed to ensure full compliance with regulatory requirements and to enhance the overall quality of services. By addressing the recommendations outlined in this report, the Accountant can further strengthen their practice and continue to serve the business community in Canada Montreal with excellence.</w:t>
      </w:r>
    </w:p>
    <w:p>
      <w:pPr>
        <w:pStyle w:val="BodyText"/>
      </w:pPr>
      <w:r>
        <w:t xml:space="preserve">The Peer Review process is an ongoing commitment to quality assurance within the accounting profession. It is essential that the Accountant takes the findings of this report seriously and implements the necessary changes to maintain the trust and confidence of clients, regulators, and the public.</w:t>
      </w:r>
    </w:p>
    <w:bookmarkEnd w:id="28"/>
    <w:p>
      <w:pPr>
        <w:pStyle w:val="BodyText"/>
      </w:pPr>
      <w:r>
        <w:rPr>
          <w:bCs/>
          <w:b/>
        </w:rPr>
        <w:t xml:space="preserve">Reviewer:</w:t>
      </w:r>
      <w:r>
        <w:t xml:space="preserve"> </w:t>
      </w:r>
      <w:r>
        <w:t xml:space="preserve">[Name of Reviewer]</w:t>
      </w:r>
    </w:p>
    <w:p>
      <w:pPr>
        <w:pStyle w:val="BodyText"/>
      </w:pPr>
      <w:r>
        <w:rPr>
          <w:bCs/>
          <w:b/>
        </w:rPr>
        <w:t xml:space="preserve">Title:</w:t>
      </w:r>
      <w:r>
        <w:t xml:space="preserve"> </w:t>
      </w:r>
      <w:r>
        <w:t xml:space="preserve">Peer Reviewer, ICAQ</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Accounting Practice in Canada Montreal</dc:title>
  <dc:creator/>
  <dc:language>en</dc:language>
  <cp:keywords/>
  <dcterms:created xsi:type="dcterms:W3CDTF">2026-10-10T02:06:04Z</dcterms:created>
  <dcterms:modified xsi:type="dcterms:W3CDTF">2026-10-10T02:06:04Z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