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China</w:t>
      </w:r>
      <w:r>
        <w:t xml:space="preserve"> </w:t>
      </w:r>
      <w:r>
        <w:t xml:space="preserve">Beijing</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Competence and Compliance Review</w:t>
      </w:r>
      <w:r>
        <w:br/>
      </w:r>
      <w:r>
        <w:rPr>
          <w:bCs/>
          <w:b/>
        </w:rPr>
        <w:t xml:space="preserve">Role:</w:t>
      </w:r>
      <w:r>
        <w:t xml:space="preserve"> </w:t>
      </w:r>
      <w:r>
        <w:t xml:space="preserve">Accountant</w:t>
      </w:r>
      <w:r>
        <w:br/>
      </w: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BJ-ACC-2023-089</w:t>
      </w:r>
      <w:r>
        <w:br/>
      </w:r>
      <w:r>
        <w:rPr>
          <w:bCs/>
          <w:b/>
        </w:rPr>
        <w:t xml:space="preserve">Reviewer:</w:t>
      </w:r>
      <w:r>
        <w:t xml:space="preserve"> </w:t>
      </w:r>
      <w:r>
        <w:t xml:space="preserve">Senior Audit Partner</w:t>
      </w:r>
    </w:p>
    <w:bookmarkStart w:id="20" w:name="executive-summary"/>
    <w:p>
      <w:pPr>
        <w:pStyle w:val="Heading2"/>
      </w:pPr>
      <w:r>
        <w:t xml:space="preserve">1. Executive Summary</w:t>
      </w:r>
    </w:p>
    <w:p>
      <w:pPr>
        <w:pStyle w:val="FirstParagraph"/>
      </w:pPr>
      <w:r>
        <w:t xml:space="preserve">This Peer Review Report has been prepared to evaluate the professional performance, technical competence, and regulatory compliance of the designated Accountant operating within the jurisdiction of China Beijing. The purpose of this review is to ensure that the accounting practices employed align with the rigorous standards set forth by the Ministry of Finance of the People's Republic of China, the Chinese Institute of Certified Public Accountants (CICPA), and relevant international financial reporting standards where applicable.</w:t>
      </w:r>
    </w:p>
    <w:p>
      <w:pPr>
        <w:pStyle w:val="BodyText"/>
      </w:pPr>
      <w:r>
        <w:t xml:space="preserve">The review covers a comprehensive assessment of financial reporting accuracy, tax compliance specific to the Beijing municipal regulations, internal control mechanisms, and ethical adherence. The findings indicate a generally high standard of professional practice, with specific recommendations for improvement regarding the integration of digital tax systems and cross-border transaction reporting.</w:t>
      </w:r>
    </w:p>
    <w:bookmarkEnd w:id="20"/>
    <w:bookmarkStart w:id="21" w:name="scope-and-methodology"/>
    <w:p>
      <w:pPr>
        <w:pStyle w:val="Heading2"/>
      </w:pPr>
      <w:r>
        <w:t xml:space="preserve">2. Scope and Methodology</w:t>
      </w:r>
    </w:p>
    <w:p>
      <w:pPr>
        <w:pStyle w:val="FirstParagraph"/>
      </w:pPr>
      <w:r>
        <w:t xml:space="preserve">The scope of this Peer Review Report encompasses the financial records, tax filings, and audit trails managed by the Accountant over the fiscal year ending December 31, 2022. The methodology involved a detailed sampling of general ledger entries, verification of Value Added Tax (VAT) filings submitted to the Beijing Tax Bureau, and a review of payroll processing in accordance with Chinese labor laws.</w:t>
      </w:r>
    </w:p>
    <w:p>
      <w:pPr>
        <w:pStyle w:val="BodyText"/>
      </w:pPr>
      <w:r>
        <w:t xml:space="preserve">Special attention was paid to the Accountant's ability to navigate the complex regulatory environment of China Beijing, including the implementation of the Golden Tax System Phase IV. The review also assessed the Accountant's proficiency in handling multi-currency transactions, a critical requirement for businesses operating in Beijing's international financial hub.</w:t>
      </w:r>
    </w:p>
    <w:bookmarkEnd w:id="21"/>
    <w:bookmarkStart w:id="24" w:name="assessment-of-technical-competence"/>
    <w:p>
      <w:pPr>
        <w:pStyle w:val="Heading2"/>
      </w:pPr>
      <w:r>
        <w:t xml:space="preserve">3. Assessment of Technical Competence</w:t>
      </w:r>
    </w:p>
    <w:bookmarkStart w:id="22" w:name="financial-reporting-and-standards"/>
    <w:p>
      <w:pPr>
        <w:pStyle w:val="Heading3"/>
      </w:pPr>
      <w:r>
        <w:t xml:space="preserve">3.1 Financial Reporting and Standards</w:t>
      </w:r>
    </w:p>
    <w:p>
      <w:pPr>
        <w:pStyle w:val="FirstParagraph"/>
      </w:pPr>
      <w:r>
        <w:t xml:space="preserve">The Accountant has demonstrated a robust understanding of the Accounting Standards for Business Enterprises (ASBE) mandated in China. The preparation of financial statements, including the balance sheet, income statement, and cash flow statement, was found to be accurate and consistent. The review confirmed that the Accountant correctly applied revenue recognition principles and asset valuation methods as required by local regulations.</w:t>
      </w:r>
    </w:p>
    <w:p>
      <w:pPr>
        <w:pStyle w:val="BodyText"/>
      </w:pPr>
      <w:r>
        <w:t xml:space="preserve">Furthermore, the Accountant showed competence in reconciling differences between ASBE and International Financial Reporting Standards (IFRS), which is essential for multinational corporations headquartered in Beijing. The adjustments made for consolidation purposes were logical, well-documented, and supported by appropriate evidence.</w:t>
      </w:r>
    </w:p>
    <w:bookmarkEnd w:id="22"/>
    <w:bookmarkStart w:id="23" w:name="tax-compliance-in-china-beijing"/>
    <w:p>
      <w:pPr>
        <w:pStyle w:val="Heading3"/>
      </w:pPr>
      <w:r>
        <w:t xml:space="preserve">3.2 Tax Compliance in China Beijing</w:t>
      </w:r>
    </w:p>
    <w:p>
      <w:pPr>
        <w:pStyle w:val="FirstParagraph"/>
      </w:pPr>
      <w:r>
        <w:t xml:space="preserve">Tax compliance is a critical component of the Accountant's role in China Beijing. The review verified that all Corporate Income Tax (CIT) returns were filed timely and accurately. The Accountant correctly utilized available tax incentives specific to the Beijing Economic-Technological Development Area (BDA), ensuring the company benefited from applicable reductions in tax rates for high-tech enterprises.</w:t>
      </w:r>
    </w:p>
    <w:p>
      <w:pPr>
        <w:pStyle w:val="BodyText"/>
      </w:pPr>
      <w:r>
        <w:t xml:space="preserve">However, the Peer Review Report identified minor discrepancies in the categorization of input VAT on certain procurement invoices. While these did not result in significant financial penalties, they highlight a need for stricter adherence to the specific invoicing requirements enforced by the Beijing tax authorities. The Accountant must ensure that all VAT special invoices are validated through the national platform before deduction.</w:t>
      </w:r>
    </w:p>
    <w:bookmarkEnd w:id="23"/>
    <w:bookmarkEnd w:id="24"/>
    <w:bookmarkStart w:id="25" w:name="internal-controls-and-risk-management"/>
    <w:p>
      <w:pPr>
        <w:pStyle w:val="Heading2"/>
      </w:pPr>
      <w:r>
        <w:t xml:space="preserve">4. Internal Controls and Risk Management</w:t>
      </w:r>
    </w:p>
    <w:p>
      <w:pPr>
        <w:pStyle w:val="FirstParagraph"/>
      </w:pPr>
      <w:r>
        <w:t xml:space="preserve">The Accountant has implemented effective internal controls to safeguard company assets and ensure the integrity of financial data. Segregation of duties between authorization, custody, and record-keeping was observed to be adequate. The review noted that the Accountant regularly performs bank reconciliations and inventory counts, which are vital for maintaining accurate records in a fast-paced business environment like Beijing.</w:t>
      </w:r>
    </w:p>
    <w:p>
      <w:pPr>
        <w:pStyle w:val="BodyText"/>
      </w:pPr>
      <w:r>
        <w:t xml:space="preserve">Risk management protocols regarding foreign exchange fluctuations were also assessed. Given the volatility of the Renminbi (RMB), the Accountant's strategy for hedging currency risks was deemed appropriate. However, the report recommends enhancing documentation regarding the rationale for specific hedging instruments used, to ensure full transparency during external audits.</w:t>
      </w:r>
    </w:p>
    <w:bookmarkEnd w:id="25"/>
    <w:bookmarkStart w:id="26" w:name="X4ce211acb8b02978b825403f312638d11fa1afd"/>
    <w:p>
      <w:pPr>
        <w:pStyle w:val="Heading2"/>
      </w:pPr>
      <w:r>
        <w:t xml:space="preserve">5. Ethical Standards and Professional Conduct</w:t>
      </w:r>
    </w:p>
    <w:p>
      <w:pPr>
        <w:pStyle w:val="FirstParagraph"/>
      </w:pPr>
      <w:r>
        <w:t xml:space="preserve">Adherence to ethical standards is paramount for any Accountant in China Beijing. The review confirmed that the Accountant maintains independence and objectivity in all financial matters. There were no instances of conflicts of interest or breaches of confidentiality identified. The Accountant demonstrated a strong commitment to professional integrity, aligning with the code of ethics established by the CICPA.</w:t>
      </w:r>
    </w:p>
    <w:p>
      <w:pPr>
        <w:pStyle w:val="BodyText"/>
      </w:pPr>
      <w:r>
        <w:t xml:space="preserve">Additionally, the Accountant actively participates in continuing professional development (CPD) activities, staying updated on the latest changes in Chinese tax law and accounting standards. This proactive approach is essential for maintaining competence in a rapidly evolving regulatory landscape.</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Accountant:</w:t>
      </w:r>
    </w:p>
    <w:p>
      <w:pPr>
        <w:numPr>
          <w:ilvl w:val="0"/>
          <w:numId w:val="1001"/>
        </w:numPr>
        <w:pStyle w:val="Compact"/>
      </w:pPr>
      <w:r>
        <w:rPr>
          <w:bCs/>
          <w:b/>
        </w:rPr>
        <w:t xml:space="preserve">Enhance VAT Compliance:</w:t>
      </w:r>
      <w:r>
        <w:t xml:space="preserve"> </w:t>
      </w:r>
      <w:r>
        <w:t xml:space="preserve">Implement a double-check system for VAT special invoices to prevent categorization errors.</w:t>
      </w:r>
    </w:p>
    <w:p>
      <w:pPr>
        <w:numPr>
          <w:ilvl w:val="0"/>
          <w:numId w:val="1001"/>
        </w:numPr>
        <w:pStyle w:val="Compact"/>
      </w:pPr>
      <w:r>
        <w:rPr>
          <w:bCs/>
          <w:b/>
        </w:rPr>
        <w:t xml:space="preserve">Digital Integration:</w:t>
      </w:r>
      <w:r>
        <w:t xml:space="preserve"> </w:t>
      </w:r>
      <w:r>
        <w:t xml:space="preserve">Fully leverage the capabilities of the Golden Tax System Phase IV to automate tax filing processes and reduce manual errors.</w:t>
      </w:r>
    </w:p>
    <w:p>
      <w:pPr>
        <w:numPr>
          <w:ilvl w:val="0"/>
          <w:numId w:val="1001"/>
        </w:numPr>
        <w:pStyle w:val="Compact"/>
      </w:pPr>
      <w:r>
        <w:rPr>
          <w:bCs/>
          <w:b/>
        </w:rPr>
        <w:t xml:space="preserve">Documentation:</w:t>
      </w:r>
      <w:r>
        <w:t xml:space="preserve"> </w:t>
      </w:r>
      <w:r>
        <w:t xml:space="preserve">Improve the documentation of accounting policies and estimates, particularly regarding cross-border transactions and currency hedging.</w:t>
      </w:r>
    </w:p>
    <w:p>
      <w:pPr>
        <w:numPr>
          <w:ilvl w:val="0"/>
          <w:numId w:val="1001"/>
        </w:numPr>
        <w:pStyle w:val="Compact"/>
      </w:pPr>
      <w:r>
        <w:rPr>
          <w:bCs/>
          <w:b/>
        </w:rPr>
        <w:t xml:space="preserve">Training:</w:t>
      </w:r>
      <w:r>
        <w:t xml:space="preserve"> </w:t>
      </w:r>
      <w:r>
        <w:t xml:space="preserve">Pursue advanced training in international tax planning to better support the company's global operations from the Beijing office.</w:t>
      </w:r>
    </w:p>
    <w:bookmarkEnd w:id="27"/>
    <w:bookmarkStart w:id="28" w:name="conclusion"/>
    <w:p>
      <w:pPr>
        <w:pStyle w:val="Heading2"/>
      </w:pPr>
      <w:r>
        <w:t xml:space="preserve">7. Conclusion</w:t>
      </w:r>
    </w:p>
    <w:p>
      <w:pPr>
        <w:pStyle w:val="FirstParagraph"/>
      </w:pPr>
      <w:r>
        <w:t xml:space="preserve">In conclusion, this Peer Review Report affirms that the Accountant operating in China Beijing possesses the necessary technical skills, regulatory knowledge, and ethical standards to perform their duties effectively. The financial records are reliable, and the company is in substantial compliance with local laws. By addressing the minor areas of improvement identified in this report, the Accountant can further elevate the quality of financial management and contribute significantly to the organization's success in the competitive Beijing market.</w:t>
      </w:r>
    </w:p>
    <w:bookmarkEnd w:id="28"/>
    <w:p>
      <w:pPr>
        <w:pStyle w:val="BodyText"/>
      </w:pPr>
      <w:r>
        <w:rPr>
          <w:bCs/>
          <w:b/>
        </w:rPr>
        <w:t xml:space="preserve">Reviewed By:</w:t>
      </w:r>
      <w:r>
        <w:br/>
      </w:r>
      <w:r>
        <w:t xml:space="preserve">[Reviewer Name]</w:t>
      </w:r>
      <w:r>
        <w:br/>
      </w:r>
      <w:r>
        <w:t xml:space="preserve">Senior Audit Partner</w:t>
      </w:r>
      <w:r>
        <w:br/>
      </w:r>
      <w:r>
        <w:t xml:space="preserve">Date: October 24, 2023</w:t>
      </w:r>
    </w:p>
    <w:p>
      <w:pPr>
        <w:pStyle w:val="BodyText"/>
      </w:pPr>
      <w:r>
        <w:rPr>
          <w:bCs/>
          <w:b/>
        </w:rPr>
        <w:t xml:space="preserve">Reviewed For:</w:t>
      </w:r>
      <w:r>
        <w:br/>
      </w:r>
      <w:r>
        <w:t xml:space="preserve">[Accountant Name]</w:t>
      </w:r>
      <w:r>
        <w:br/>
      </w:r>
      <w:r>
        <w:t xml:space="preserve">Accountant</w:t>
      </w:r>
      <w:r>
        <w:br/>
      </w:r>
      <w:r>
        <w:t xml:space="preserve">Date: 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China Beijing</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