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China</w:t>
      </w:r>
      <w:r>
        <w:t xml:space="preserve"> </w:t>
      </w:r>
      <w:r>
        <w:t xml:space="preserve">Guangzhou</w:t>
      </w:r>
    </w:p>
    <w:bookmarkStart w:id="28" w:name="X7359105eb0182800c77fd49ec771ccee124d405"/>
    <w:p>
      <w:pPr>
        <w:pStyle w:val="Heading1"/>
      </w:pPr>
      <w:r>
        <w:t xml:space="preserve">Peer Review Report: Professional Accounting Services</w:t>
      </w:r>
    </w:p>
    <w:p>
      <w:pPr>
        <w:pStyle w:val="FirstParagraph"/>
      </w:pPr>
      <w:r>
        <w:t xml:space="preserve">Subject of Review</w:t>
      </w:r>
    </w:p>
    <w:p>
      <w:pPr>
        <w:pStyle w:val="BodyText"/>
      </w:pPr>
      <w:r>
        <w:t xml:space="preserve">Senior Accountant Performance &amp; Compliance</w:t>
      </w:r>
    </w:p>
    <w:p>
      <w:pPr>
        <w:pStyle w:val="BodyText"/>
      </w:pPr>
      <w:r>
        <w:t xml:space="preserve">Location of Operations</w:t>
      </w:r>
    </w:p>
    <w:p>
      <w:pPr>
        <w:pStyle w:val="BodyText"/>
      </w:pPr>
      <w:r>
        <w:t xml:space="preserve">China Guangzhou (Pearl River Delta Region)</w:t>
      </w:r>
    </w:p>
    <w:p>
      <w:pPr>
        <w:pStyle w:val="BodyText"/>
      </w:pPr>
      <w:r>
        <w:t xml:space="preserve">Report Date</w:t>
      </w:r>
    </w:p>
    <w:p>
      <w:pPr>
        <w:pStyle w:val="BodyText"/>
      </w:pPr>
      <w:r>
        <w:t xml:space="preserve">October 24, 2023</w:t>
      </w:r>
    </w:p>
    <w:p>
      <w:pPr>
        <w:pStyle w:val="BodyText"/>
      </w:pPr>
      <w:r>
        <w:t xml:space="preserve">Review Period</w:t>
      </w:r>
    </w:p>
    <w:p>
      <w:pPr>
        <w:pStyle w:val="BodyText"/>
      </w:pPr>
      <w:r>
        <w:t xml:space="preserve">Q3 2023 - Q4 2023</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technical accuracy, and regulatory compliance of the designated Accountant operating within the dynamic commercial environment of China Guangzhou. As a pivotal hub for international trade and domestic manufacturing in the Pearl River Delta, Guangzhou presents unique fiscal challenges. This report assesses whether the Accountant adheres to the Chinese Accounting Standards (CAS), effectively manages cross-border financial reporting, and maintains the high ethical standards required by the Ministry of Finance of the People's Republic of China.</w:t>
      </w:r>
    </w:p>
    <w:p>
      <w:pPr>
        <w:pStyle w:val="BodyText"/>
      </w:pPr>
      <w:r>
        <w:t xml:space="preserve">The review process involved a comprehensive audit of financial statements, tax filings, and internal control procedures over the last two quarters. The findings indicate a generally high level of proficiency, with specific recommendations regarding the integration of digital tax systems prevalent in the Guangdong province.</w:t>
      </w:r>
    </w:p>
    <w:bookmarkEnd w:id="20"/>
    <w:bookmarkStart w:id="21" w:name="scope-and-methodology"/>
    <w:p>
      <w:pPr>
        <w:pStyle w:val="Heading2"/>
      </w:pPr>
      <w:r>
        <w:t xml:space="preserve">2. Scope and Methodology</w:t>
      </w:r>
    </w:p>
    <w:p>
      <w:pPr>
        <w:pStyle w:val="FirstParagraph"/>
      </w:pPr>
      <w:r>
        <w:t xml:space="preserve">The scope of this peer review was strictly defined to cover the following areas relevant to an Accountant in China Guangzhou:</w:t>
      </w:r>
    </w:p>
    <w:p>
      <w:pPr>
        <w:numPr>
          <w:ilvl w:val="0"/>
          <w:numId w:val="1001"/>
        </w:numPr>
        <w:pStyle w:val="Compact"/>
      </w:pPr>
      <w:r>
        <w:rPr>
          <w:bCs/>
          <w:b/>
        </w:rPr>
        <w:t xml:space="preserve">Regulatory Compliance:</w:t>
      </w:r>
      <w:r>
        <w:t xml:space="preserve"> </w:t>
      </w:r>
      <w:r>
        <w:t xml:space="preserve">Verification of adherence to the Accounting Law of the PRC and local tax regulations specific to Guangzhou.</w:t>
      </w:r>
    </w:p>
    <w:p>
      <w:pPr>
        <w:numPr>
          <w:ilvl w:val="0"/>
          <w:numId w:val="1001"/>
        </w:numPr>
        <w:pStyle w:val="Compact"/>
      </w:pPr>
      <w:r>
        <w:rPr>
          <w:bCs/>
          <w:b/>
        </w:rPr>
        <w:t xml:space="preserve">Technical Accuracy:</w:t>
      </w:r>
      <w:r>
        <w:t xml:space="preserve"> </w:t>
      </w:r>
      <w:r>
        <w:t xml:space="preserve">Review of journal entries, general ledger maintenance, and financial statement preparation.</w:t>
      </w:r>
    </w:p>
    <w:p>
      <w:pPr>
        <w:numPr>
          <w:ilvl w:val="0"/>
          <w:numId w:val="1001"/>
        </w:numPr>
        <w:pStyle w:val="Compact"/>
      </w:pPr>
      <w:r>
        <w:rPr>
          <w:bCs/>
          <w:b/>
        </w:rPr>
        <w:t xml:space="preserve">Tax Management:</w:t>
      </w:r>
      <w:r>
        <w:t xml:space="preserve"> </w:t>
      </w:r>
      <w:r>
        <w:t xml:space="preserve">Assessment of Value Added Tax (VAT) calculations, Corporate Income Tax (CIT) filings, and withholding tax obligations.</w:t>
      </w:r>
    </w:p>
    <w:p>
      <w:pPr>
        <w:numPr>
          <w:ilvl w:val="0"/>
          <w:numId w:val="1001"/>
        </w:numPr>
        <w:pStyle w:val="Compact"/>
      </w:pPr>
      <w:r>
        <w:rPr>
          <w:bCs/>
          <w:b/>
        </w:rPr>
        <w:t xml:space="preserve">Internal Controls:</w:t>
      </w:r>
      <w:r>
        <w:t xml:space="preserve"> </w:t>
      </w:r>
      <w:r>
        <w:t xml:space="preserve">Evaluation of risk management protocols and data security measures.</w:t>
      </w:r>
    </w:p>
    <w:p>
      <w:pPr>
        <w:pStyle w:val="FirstParagraph"/>
      </w:pPr>
      <w:r>
        <w:t xml:space="preserve">The methodology included random sampling of transaction records, interviews with the Accountant, and a comparative analysis against industry benchmarks for firms operating in the Greater Bay Area.</w:t>
      </w:r>
    </w:p>
    <w:bookmarkEnd w:id="21"/>
    <w:bookmarkStart w:id="25" w:name="detailed-findings"/>
    <w:p>
      <w:pPr>
        <w:pStyle w:val="Heading2"/>
      </w:pPr>
      <w:r>
        <w:t xml:space="preserve">3. Detailed Findings</w:t>
      </w:r>
    </w:p>
    <w:bookmarkStart w:id="22" w:name="Xb054b96a05bce2c069714634bacca037718d5a2"/>
    <w:p>
      <w:pPr>
        <w:pStyle w:val="Heading3"/>
      </w:pPr>
      <w:r>
        <w:t xml:space="preserve">3.1 Adherence to Chinese Accounting Standards (CAS)</w:t>
      </w:r>
    </w:p>
    <w:p>
      <w:pPr>
        <w:pStyle w:val="FirstParagraph"/>
      </w:pPr>
      <w:r>
        <w:t xml:space="preserve">The Accountant demonstrated a robust understanding of the Chinese Accounting Standards. The financial statements prepared for the review period were consistent with CAS requirements. Specifically, the treatment of revenue recognition and inventory valuation aligned with the latest updates issued by the Ministry of Finance. Given Guangzhou's status as a major logistics center, the accurate valuation of inventory is critical. The Accountant successfully navigated complex inventory scenarios involving imported raw materials and finished goods, ensuring that foreign exchange fluctuations were accounted for correctly in the financial records.</w:t>
      </w:r>
    </w:p>
    <w:bookmarkEnd w:id="22"/>
    <w:bookmarkStart w:id="23" w:name="tax-compliance-and-local-regulations"/>
    <w:p>
      <w:pPr>
        <w:pStyle w:val="Heading3"/>
      </w:pPr>
      <w:r>
        <w:t xml:space="preserve">3.2 Tax Compliance and Local Regulations</w:t>
      </w:r>
    </w:p>
    <w:p>
      <w:pPr>
        <w:pStyle w:val="FirstParagraph"/>
      </w:pPr>
      <w:r>
        <w:t xml:space="preserve">Tax compliance in China Guangzhou requires meticulous attention to detail due to the complexity of the Golden Tax System (Phase IV). The review found that the Accountant has maintained timely submissions for VAT and CIT. The calculation of input and output VAT was accurate, reflecting a strong grasp of the distinction between general taxpayers and small-scale taxpayers.</w:t>
      </w:r>
    </w:p>
    <w:p>
      <w:pPr>
        <w:pStyle w:val="BodyText"/>
      </w:pPr>
      <w:r>
        <w:t xml:space="preserve">Furthermore, the Accountant effectively managed the withholding tax obligations for foreign employees, a common requirement in Guangzhou's multinational business sector. The documentation supporting these filings was organized and readily available for potential inspection by local tax authorities.</w:t>
      </w:r>
    </w:p>
    <w:bookmarkEnd w:id="23"/>
    <w:bookmarkStart w:id="24" w:name="internal-controls-and-risk-management"/>
    <w:p>
      <w:pPr>
        <w:pStyle w:val="Heading3"/>
      </w:pPr>
      <w:r>
        <w:t xml:space="preserve">3.3 Internal Controls and Risk Management</w:t>
      </w:r>
    </w:p>
    <w:p>
      <w:pPr>
        <w:pStyle w:val="FirstParagraph"/>
      </w:pPr>
      <w:r>
        <w:t xml:space="preserve">The internal control framework established by the Accountant is sound. Segregation of duties was observed between the authorization of payments and the recording of transactions. However, the review identified a minor gap in the digital backup protocols for financial data. While physical records are secure, the reliance on local server storage without redundant cloud backups poses a risk. In the context of China's increasing focus on data security and cybersecurity laws, this area requires immediate attention.</w:t>
      </w:r>
    </w:p>
    <w:bookmarkEnd w:id="24"/>
    <w:bookmarkEnd w:id="25"/>
    <w:bookmarkStart w:id="26" w:name="areas-for-improvement"/>
    <w:p>
      <w:pPr>
        <w:pStyle w:val="Heading2"/>
      </w:pPr>
      <w:r>
        <w:t xml:space="preserve">4. Areas for Improvement</w:t>
      </w:r>
    </w:p>
    <w:p>
      <w:pPr>
        <w:pStyle w:val="FirstParagraph"/>
      </w:pPr>
      <w:r>
        <w:t xml:space="preserve">While the performance of the Accountant is commendable, the following areas require improvement to ensure continued excellence in the competitive landscape of China Guangzhou:</w:t>
      </w:r>
    </w:p>
    <w:p>
      <w:pPr>
        <w:numPr>
          <w:ilvl w:val="0"/>
          <w:numId w:val="1002"/>
        </w:numPr>
        <w:pStyle w:val="Compact"/>
      </w:pPr>
      <w:r>
        <w:rPr>
          <w:bCs/>
          <w:b/>
        </w:rPr>
        <w:t xml:space="preserve">Digital Integration:</w:t>
      </w:r>
      <w:r>
        <w:t xml:space="preserve"> </w:t>
      </w:r>
      <w:r>
        <w:t xml:space="preserve">The Accountant should accelerate the adoption of AI-driven accounting software compatible with the Guangdong electronic invoicing system. This will enhance efficiency and reduce manual entry errors.</w:t>
      </w:r>
    </w:p>
    <w:p>
      <w:pPr>
        <w:numPr>
          <w:ilvl w:val="0"/>
          <w:numId w:val="1002"/>
        </w:numPr>
        <w:pStyle w:val="Compact"/>
      </w:pPr>
      <w:r>
        <w:rPr>
          <w:bCs/>
          <w:b/>
        </w:rPr>
        <w:t xml:space="preserve">Continuous Professional Development:</w:t>
      </w:r>
      <w:r>
        <w:t xml:space="preserve"> </w:t>
      </w:r>
      <w:r>
        <w:t xml:space="preserve">Given the rapid changes in tax incentives for high-tech enterprises in the Greater Bay Area, the Accountant is advised to engage in regular training sessions to stay updated on preferential tax policies.</w:t>
      </w:r>
    </w:p>
    <w:p>
      <w:pPr>
        <w:numPr>
          <w:ilvl w:val="0"/>
          <w:numId w:val="1002"/>
        </w:numPr>
        <w:pStyle w:val="Compact"/>
      </w:pPr>
      <w:r>
        <w:rPr>
          <w:bCs/>
          <w:b/>
        </w:rPr>
        <w:t xml:space="preserve">Data Redundancy:</w:t>
      </w:r>
      <w:r>
        <w:t xml:space="preserve"> </w:t>
      </w:r>
      <w:r>
        <w:t xml:space="preserve">Implement a robust cloud-based backup solution that complies with China's Data Security Law to protect sensitive financial information.</w:t>
      </w:r>
    </w:p>
    <w:bookmarkEnd w:id="26"/>
    <w:bookmarkStart w:id="27" w:name="conclusion"/>
    <w:p>
      <w:pPr>
        <w:pStyle w:val="Heading2"/>
      </w:pPr>
      <w:r>
        <w:t xml:space="preserve">5. Conclusion</w:t>
      </w:r>
    </w:p>
    <w:p>
      <w:pPr>
        <w:pStyle w:val="FirstParagraph"/>
      </w:pPr>
      <w:r>
        <w:rPr>
          <w:bCs/>
          <w:b/>
        </w:rPr>
        <w:t xml:space="preserve">Overall Rating: Satisfactory with Recommendations</w:t>
      </w:r>
    </w:p>
    <w:p>
      <w:pPr>
        <w:pStyle w:val="BodyText"/>
      </w:pPr>
      <w:r>
        <w:t xml:space="preserve">The Accountant under review has demonstrated a high level of professional competence and integrity. Their ability to navigate the specific regulatory environment of China Guangzhou is evident in the accuracy of their financial reporting and tax compliance. By addressing the minor recommendations regarding digital integration and data security, the Accountant will be well-positioned to support the organization's growth and maintain full compliance with national and local standards.</w:t>
      </w:r>
    </w:p>
    <w:p>
      <w:pPr>
        <w:pStyle w:val="BodyText"/>
      </w:pPr>
      <w:r>
        <w:rPr>
          <w:bCs/>
          <w:b/>
        </w:rPr>
        <w:t xml:space="preserve">Reviewed By:</w:t>
      </w:r>
    </w:p>
    <w:p>
      <w:pPr>
        <w:pStyle w:val="BodyText"/>
      </w:pPr>
      <w:r>
        <w:t xml:space="preserve">Senior Audit Partner</w:t>
      </w:r>
    </w:p>
    <w:p>
      <w:pPr>
        <w:pStyle w:val="BodyText"/>
      </w:pPr>
      <w:r>
        <w:t xml:space="preserve">Guangzhou Regional Office</w:t>
      </w:r>
    </w:p>
    <w:p>
      <w:pPr>
        <w:pStyle w:val="BodyText"/>
      </w:pPr>
      <w:r>
        <w:rPr>
          <w:bCs/>
          <w:b/>
        </w:rPr>
        <w:t xml:space="preserve">Approved By:</w:t>
      </w:r>
    </w:p>
    <w:p>
      <w:pPr>
        <w:pStyle w:val="BodyText"/>
      </w:pPr>
      <w:r>
        <w:t xml:space="preserve">Chief Financial Officer</w:t>
      </w:r>
    </w:p>
    <w:p>
      <w:pPr>
        <w:pStyle w:val="BodyText"/>
      </w:pPr>
      <w:r>
        <w:t xml:space="preserve">Headquarters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China Guangzhou</dc:title>
  <dc:creator/>
  <dc:language>en</dc:language>
  <cp:keywords/>
  <dcterms:created xsi:type="dcterms:W3CDTF">2026-10-10T07:08:45Z</dcterms:created>
  <dcterms:modified xsi:type="dcterms:W3CDTF">2026-10-10T07:08:45Z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