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Performance Evaluation of Accountant</w:t>
      </w:r>
    </w:p>
    <w:p>
      <w:pPr>
        <w:pStyle w:val="BodyText"/>
      </w:pPr>
      <w:r>
        <w:rPr>
          <w:bCs/>
          <w:b/>
        </w:rPr>
        <w:t xml:space="preserve">Location:</w:t>
      </w:r>
      <w:r>
        <w:t xml:space="preserve"> </w:t>
      </w:r>
      <w:r>
        <w:t xml:space="preserve">Ethiopia Addis Ababa</w:t>
      </w:r>
    </w:p>
    <w:p>
      <w:pPr>
        <w:pStyle w:val="BodyText"/>
      </w:pPr>
      <w:r>
        <w:rPr>
          <w:bCs/>
          <w:b/>
        </w:rPr>
        <w:t xml:space="preserve">Date of Review:</w:t>
      </w:r>
      <w:r>
        <w:t xml:space="preserve"> </w:t>
      </w:r>
      <w:r>
        <w:t xml:space="preserve">October 26,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technical proficiency, ethical conduct, and operational efficiency of the designated Accountant within our organization based in Ethiopia Addis Ababa. The purpose of this review is to ensure alignment with the Financial Reporting Standards (FRS) adopted by the Ministry of Revenues and the International Financial Reporting Standards (IFRS) where applicable. Furthermore, this document serves to evaluate the accountant's adherence to the regulatory frameworks governing financial practices in Ethiopia, specifically focusing on tax compliance, internal controls, and financial transparency.</w:t>
      </w:r>
    </w:p>
    <w:p>
      <w:pPr>
        <w:pStyle w:val="BodyText"/>
      </w:pPr>
      <w:r>
        <w:t xml:space="preserve">The review process involved a comprehensive analysis of financial records, interviews with department heads, and a direct assessment of the accountant's daily workflows. The scope covers general ledger management, payroll processing, tax filing accuracy, and the preparation of statutory financial statements required by Ethiopian law.</w:t>
      </w:r>
    </w:p>
    <w:bookmarkEnd w:id="21"/>
    <w:bookmarkStart w:id="22" w:name="X4bc4b1c7ef29040b8a00b7c589cb9a284653636"/>
    <w:p>
      <w:pPr>
        <w:pStyle w:val="Heading2"/>
      </w:pPr>
      <w:r>
        <w:t xml:space="preserve">2. Regulatory Compliance and Legal Framework</w:t>
      </w:r>
    </w:p>
    <w:p>
      <w:pPr>
        <w:pStyle w:val="FirstParagraph"/>
      </w:pPr>
      <w:r>
        <w:t xml:space="preserve">A critical aspect of this Peer Review Report is the evaluation of the Accountant's compliance with the specific legal environment of Ethiopia Addis Ababa. The accountant is expected to maintain strict adherence to the Income Tax Proclamation, the Value Added Tax (VAT) Proclamation, and the Commercial Code of Ethiopia.</w:t>
      </w:r>
    </w:p>
    <w:p>
      <w:pPr>
        <w:pStyle w:val="BodyText"/>
      </w:pPr>
      <w:r>
        <w:t xml:space="preserve">During the review period, the Accountant demonstrated a strong understanding of the local tax regime. Specifically, the timely submission of monthly VAT returns and withholding tax declarations to the Addis Ababa City Administration Revenue Bureau was noted as a significant strength. The accountant successfully navigated the complexities of the Ethiopian tax calendar, ensuring that the organization avoided penalties associated with late filings. However, the review identified a need for enhanced documentation regarding transfer pricing policies, which is becoming increasingly scrutinized by Ethiopian tax authorities for multinational entities operating in Addis Ababa.</w:t>
      </w:r>
    </w:p>
    <w:bookmarkEnd w:id="22"/>
    <w:bookmarkStart w:id="23" w:name="X2d52d5904558ecde737553bef4285b0c6b9c1bd"/>
    <w:p>
      <w:pPr>
        <w:pStyle w:val="Heading2"/>
      </w:pPr>
      <w:r>
        <w:t xml:space="preserve">3. Technical Competence and Financial Reporting</w:t>
      </w:r>
    </w:p>
    <w:p>
      <w:pPr>
        <w:pStyle w:val="FirstParagraph"/>
      </w:pPr>
      <w:r>
        <w:t xml:space="preserve">The technical skills of the Accountant were assessed based on accuracy, timeliness, and the quality of financial reporting. The review confirmed that the accountant maintains the general ledger with a high degree of precision. Bank reconciliations are performed monthly without exception, and discrepancies are resolved promptly.</w:t>
      </w:r>
    </w:p>
    <w:p>
      <w:pPr>
        <w:pStyle w:val="BodyText"/>
      </w:pPr>
      <w:r>
        <w:t xml:space="preserve">In terms of financial reporting, the Accountant prepares monthly management accounts that provide clear insights into the organization's financial health. The transition towards more standardized IFRS-compliant reporting has been managed effectively. The accountant has shown proficiency in using accounting software tailored for the Ethiopian market, ensuring that currency fluctuations between the Ethiopian Birr (ETB) and foreign currencies are accounted for correctly in accordance with local accounting directives.</w:t>
      </w:r>
    </w:p>
    <w:p>
      <w:pPr>
        <w:pStyle w:val="BodyText"/>
      </w:pPr>
      <w:r>
        <w:t xml:space="preserve">One area for improvement identified in this Peer Review Report is the level of detail provided in financial analysis. While the numbers are accurate, the accountant should provide more strategic commentary on variances to assist management in decision-making.</w:t>
      </w:r>
    </w:p>
    <w:bookmarkEnd w:id="23"/>
    <w:bookmarkStart w:id="24" w:name="internal-controls-and-risk-management"/>
    <w:p>
      <w:pPr>
        <w:pStyle w:val="Heading2"/>
      </w:pPr>
      <w:r>
        <w:t xml:space="preserve">4. Internal Controls and Risk Management</w:t>
      </w:r>
    </w:p>
    <w:p>
      <w:pPr>
        <w:pStyle w:val="FirstParagraph"/>
      </w:pPr>
      <w:r>
        <w:t xml:space="preserve">Effective internal controls are vital for any organization operating in Ethiopia Addis Ababa to mitigate risks related to fraud and operational inefficiency. The Accountant plays a central role in maintaining these controls. The review found that the accountant has implemented robust segregation of duties between authorization, custody, and recording of transactions.</w:t>
      </w:r>
    </w:p>
    <w:p>
      <w:pPr>
        <w:pStyle w:val="BodyText"/>
      </w:pPr>
      <w:r>
        <w:t xml:space="preserve">The procurement process was reviewed, and it was noted that the Accountant ensures all expenditures are supported by valid invoices and approved purchase orders, complying with the organization's internal policies and Ethiopian commercial laws. The management of petty cash was also audited, revealing strict adherence to limits and documentation requirements.</w:t>
      </w:r>
    </w:p>
    <w:p>
      <w:pPr>
        <w:pStyle w:val="BodyText"/>
      </w:pPr>
      <w:r>
        <w:t xml:space="preserve">However, the Peer Review Report recommends strengthening the digital security protocols for financial data. As the organization moves towards more digital record-keeping, ensuring that financial data is backed up securely and accessible only to authorized personnel is paramount.</w:t>
      </w:r>
    </w:p>
    <w:bookmarkEnd w:id="24"/>
    <w:bookmarkStart w:id="25" w:name="professional-ethics-and-conduct"/>
    <w:p>
      <w:pPr>
        <w:pStyle w:val="Heading2"/>
      </w:pPr>
      <w:r>
        <w:t xml:space="preserve">5. Professional Ethics and Conduct</w:t>
      </w:r>
    </w:p>
    <w:p>
      <w:pPr>
        <w:pStyle w:val="FirstParagraph"/>
      </w:pPr>
      <w:r>
        <w:t xml:space="preserve">Professional ethics are a cornerstone of the accounting profession. The Accountant was evaluated based on integrity, objectivity, professional competence, confidentiality, and professional behavior. Throughout the review period, the Accountant has demonstrated high ethical standards, maintaining confidentiality of sensitive financial information and resisting pressure to manipulate financial results.</w:t>
      </w:r>
    </w:p>
    <w:p>
      <w:pPr>
        <w:pStyle w:val="BodyText"/>
      </w:pPr>
      <w:r>
        <w:t xml:space="preserve">The accountant actively participates in continuing professional development, staying updated with changes in Ethiopian financial regulations and accounting standards. This commitment to professional growth is essential for maintaining competence in the dynamic economic environment of Addis Ababa.</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Accountant is deemed competent and effective in their role. The following recommendations are made to further enhance performance:</w:t>
      </w:r>
    </w:p>
    <w:p>
      <w:pPr>
        <w:numPr>
          <w:ilvl w:val="0"/>
          <w:numId w:val="1001"/>
        </w:numPr>
        <w:pStyle w:val="Compact"/>
      </w:pPr>
      <w:r>
        <w:t xml:space="preserve">Enhance financial analysis reports to include more strategic insights and forecasting.</w:t>
      </w:r>
    </w:p>
    <w:p>
      <w:pPr>
        <w:numPr>
          <w:ilvl w:val="0"/>
          <w:numId w:val="1001"/>
        </w:numPr>
        <w:pStyle w:val="Compact"/>
      </w:pPr>
      <w:r>
        <w:t xml:space="preserve">Strengthen documentation related to transfer pricing to ensure full compliance with evolving Ethiopian tax regulations.</w:t>
      </w:r>
    </w:p>
    <w:p>
      <w:pPr>
        <w:numPr>
          <w:ilvl w:val="0"/>
          <w:numId w:val="1001"/>
        </w:numPr>
        <w:pStyle w:val="Compact"/>
      </w:pPr>
      <w:r>
        <w:t xml:space="preserve">Implement additional digital security measures for financial data protection.</w:t>
      </w:r>
    </w:p>
    <w:p>
      <w:pPr>
        <w:numPr>
          <w:ilvl w:val="0"/>
          <w:numId w:val="1001"/>
        </w:numPr>
        <w:pStyle w:val="Compact"/>
      </w:pPr>
      <w:r>
        <w:t xml:space="preserve">Continue professional development focused on advanced IFRS standards and Ethiopian tax law updates.</w:t>
      </w:r>
    </w:p>
    <w:p>
      <w:pPr>
        <w:pStyle w:val="FirstParagraph"/>
      </w:pPr>
      <w:r>
        <w:t xml:space="preserve">In conclusion, the Accountant has performed their duties with diligence and professionalism, contributing significantly to the financial integrity of the organization in Ethiopia Addis Ababa. This Peer Review Report serves as a formal recognition of their efforts and a guide for future professional development.</w:t>
      </w:r>
    </w:p>
    <w:bookmarkEnd w:id="26"/>
    <w:p>
      <w:pPr>
        <w:pStyle w:val="BodyText"/>
      </w:pPr>
      <w:r>
        <w:rPr>
          <w:bCs/>
          <w:b/>
        </w:rPr>
        <w:t xml:space="preserve">Reviewed By:</w:t>
      </w:r>
    </w:p>
    <w:p>
      <w:pPr>
        <w:pStyle w:val="BodyText"/>
      </w:pPr>
      <w:r>
        <w:t xml:space="preserve">__________________________</w:t>
      </w:r>
    </w:p>
    <w:p>
      <w:pPr>
        <w:pStyle w:val="BodyText"/>
      </w:pPr>
      <w:r>
        <w:t xml:space="preserve">Senior Financial Auditor</w:t>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Approved By:</w:t>
      </w:r>
    </w:p>
    <w:p>
      <w:pPr>
        <w:pStyle w:val="BodyText"/>
      </w:pPr>
      <w:r>
        <w:t xml:space="preserve">__________________________</w:t>
      </w:r>
    </w:p>
    <w:p>
      <w:pPr>
        <w:pStyle w:val="BodyText"/>
      </w:pPr>
      <w:r>
        <w:t xml:space="preserve">Chief Financial Officer</w:t>
      </w:r>
    </w:p>
    <w:p>
      <w:pPr>
        <w:pStyle w:val="BodyText"/>
      </w:pPr>
      <w:r>
        <w:rPr>
          <w:bCs/>
          <w:b/>
        </w:rPr>
        <w:t xml:space="preserve">Date:</w:t>
      </w:r>
      <w:r>
        <w:t xml:space="preserve"> </w:t>
      </w:r>
      <w:r>
        <w:t xml:space="preserve">October 27,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Ethiopia Addis Ababa</dc:title>
  <dc:creator/>
  <dc:language>en</dc:language>
  <cp:keywords/>
  <dcterms:created xsi:type="dcterms:W3CDTF">2026-10-10T03:50:57Z</dcterms:created>
  <dcterms:modified xsi:type="dcterms:W3CDTF">2026-10-10T03:50:57Z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