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Accountant</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performance, technical competence, and adherence to regulatory standards of the Accountant operating within our financial division in Germany Munich. The review focuses on the individual's ability to navigate the complex fiscal landscape of Bavaria, ensure compliance with German tax laws (Abgabenordnung), and maintain the high standards expected in the Munich business environment. The findings indicate a strong alignment with local accounting principles (HGB) and effective collaboration within the regional team.</w:t>
      </w:r>
    </w:p>
    <w:bookmarkEnd w:id="21"/>
    <w:bookmarkStart w:id="22" w:name="Xf81ad1d3721a18a0f1af1e5f8148fa098484165"/>
    <w:p>
      <w:pPr>
        <w:pStyle w:val="Heading2"/>
      </w:pPr>
      <w:r>
        <w:t xml:space="preserve">2. Regulatory Compliance and Technical Proficiency</w:t>
      </w:r>
    </w:p>
    <w:p>
      <w:pPr>
        <w:pStyle w:val="FirstParagraph"/>
      </w:pPr>
      <w:r>
        <w:t xml:space="preserve">A primary objective of this Peer Review Report is to evaluate the Accountant's mastery of the specific legal frameworks governing financial reporting in Germany Munich. The subject demonstrates a robust understanding of the German Commercial Code (Handelsgesetzbuch - HGB) and the German Tax Code. Given the stringent requirements of the local Finanzamt (Tax Office) in Munich, the Accountant has consistently ensured that all fiscal filings, including VAT returns (Umsatzsteuer-Voranmeldung) and corporate tax assessments, are submitted accurately and within statutory deadlines.</w:t>
      </w:r>
    </w:p>
    <w:p>
      <w:pPr>
        <w:pStyle w:val="BodyText"/>
      </w:pPr>
      <w:r>
        <w:t xml:space="preserve">Furthermore, the review highlights the Accountant's proficiency in handling GoBD (Grundsätze zur ordnungsmäßigen Führung und Aufbewahrung von Büchern, Aufzeichnungen und Unterlagen in elektronischer Form sowie zum Datenzugriff) compliance. This is particularly critical in the digital-first environment of Munich's corporate sector. The subject has successfully implemented internal controls that safeguard data integrity, ensuring that electronic records meet the rigorous audit standards expected by German regulatory bodies.</w:t>
      </w:r>
    </w:p>
    <w:bookmarkEnd w:id="22"/>
    <w:bookmarkStart w:id="23" w:name="X6a9a97dc9553d14f4e1c05f1fc93442d117adfd"/>
    <w:p>
      <w:pPr>
        <w:pStyle w:val="Heading2"/>
      </w:pPr>
      <w:r>
        <w:t xml:space="preserve">3. Operational Efficiency and Process Management</w:t>
      </w:r>
    </w:p>
    <w:p>
      <w:pPr>
        <w:pStyle w:val="FirstParagraph"/>
      </w:pPr>
      <w:r>
        <w:t xml:space="preserve">In the context of this Peer Review Report, operational efficiency is measured against the fast-paced demands of the Munich financial market. The Accountant has shown exceptional capability in streamlining month-end and year-end closing processes. By leveraging advanced ERP systems commonly used in Germany, such as SAP, the subject has reduced reconciliation times and minimized discrepancies in financial statements.</w:t>
      </w:r>
    </w:p>
    <w:p>
      <w:pPr>
        <w:pStyle w:val="BodyText"/>
      </w:pPr>
      <w:r>
        <w:t xml:space="preserve">The review also notes the Accountant's effectiveness in managing cross-border transactions, a frequent requirement for businesses based in Germany Munich due to its status as a hub for international trade. The subject accurately applies transfer pricing regulations and manages currency fluctuations in accordance with IFRS standards where applicable, demonstrating a versatile skill set that bridges local German requirements with international accounting practices.</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vital for an Accountant in Germany Munich, where interactions with local authorities, auditors, and internal stakeholders are frequent. This Peer Review Report confirms that the subject possesses excellent communication skills in both German and English. This bilingual proficiency is essential for liaising with the Munich Chamber of Commerce and Industry (IHK) and for collaborating with multinational teams within the organization.</w:t>
      </w:r>
    </w:p>
    <w:p>
      <w:pPr>
        <w:pStyle w:val="BodyText"/>
      </w:pPr>
      <w:r>
        <w:t xml:space="preserve">The Accountant has been praised for their clarity in presenting financial data to non-financial managers, facilitating better decision-making at the executive level. Additionally, their professional demeanor during external audits has strengthened the company's reputation with local auditors and tax advisors in the region.</w:t>
      </w:r>
    </w:p>
    <w:bookmarkEnd w:id="24"/>
    <w:bookmarkStart w:id="25" w:name="areas-for-development"/>
    <w:p>
      <w:pPr>
        <w:pStyle w:val="Heading2"/>
      </w:pPr>
      <w:r>
        <w:t xml:space="preserve">5. Areas for Development</w:t>
      </w:r>
    </w:p>
    <w:p>
      <w:pPr>
        <w:pStyle w:val="FirstParagraph"/>
      </w:pPr>
      <w:r>
        <w:t xml:space="preserve">While the overall performance is commendable, this Peer Review Report identifies specific areas for growth. The Accountant is encouraged to deepen their expertise in the latest digital transformation tools relevant to the German accounting sector, such as automated tax reporting software and AI-driven financial analysis platforms. Staying ahead of technological trends is crucial for maintaining competitiveness in the innovative business ecosystem of Germany Munich.</w:t>
      </w:r>
    </w:p>
    <w:p>
      <w:pPr>
        <w:pStyle w:val="BodyText"/>
      </w:pPr>
      <w:r>
        <w:t xml:space="preserve">Additionally, further specialization in sustainability reporting (ESG) would be beneficial, as German regulations increasingly mandate transparency in environmental and social governance metrics. Enhancing knowledge in this area will position the Accountant as a strategic asset in aligning the company with future regulatory expectations in Bavaria.</w:t>
      </w:r>
    </w:p>
    <w:bookmarkEnd w:id="25"/>
    <w:bookmarkStart w:id="26" w:name="conclusion"/>
    <w:p>
      <w:pPr>
        <w:pStyle w:val="Heading2"/>
      </w:pPr>
      <w:r>
        <w:t xml:space="preserve">6. Conclusion</w:t>
      </w:r>
    </w:p>
    <w:p>
      <w:pPr>
        <w:pStyle w:val="FirstParagraph"/>
      </w:pPr>
      <w:r>
        <w:t xml:space="preserve">In conclusion, this Peer Review Report affirms that the Accountant is a highly competent professional who meets and often exceeds the expectations for their role in Germany Munich. Their dedication to regulatory compliance, technical accuracy, and operational excellence contributes significantly to the financial stability and integrity of the organization. The subject's ability to navigate the unique challenges of the German fiscal environment makes them an invaluable member of the team. Continued professional development in digital tools and sustainability reporting will further enhance their already strong performance.</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Financial Controller</w:t>
      </w:r>
    </w:p>
    <w:p>
      <w:pPr>
        <w:pStyle w:val="BodyText"/>
      </w:pPr>
      <w:r>
        <w:rPr>
          <w:bCs/>
          <w:b/>
        </w:rPr>
        <w:t xml:space="preserve">Location:</w:t>
      </w:r>
      <w:r>
        <w:t xml:space="preserve"> </w:t>
      </w:r>
      <w:r>
        <w:t xml:space="preserve">Germany Munich</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Germany Munich</dc:title>
  <dc:creator/>
  <dc:language>en</dc:language>
  <cp:keywords/>
  <dcterms:created xsi:type="dcterms:W3CDTF">2026-10-10T04:11:48Z</dcterms:created>
  <dcterms:modified xsi:type="dcterms:W3CDTF">2026-10-10T04:11:48Z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