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Performance Evaluation of Accountant</w:t>
      </w:r>
    </w:p>
    <w:p>
      <w:pPr>
        <w:pStyle w:val="BodyText"/>
      </w:pPr>
      <w:r>
        <w:rPr>
          <w:bCs/>
          <w:b/>
        </w:rPr>
        <w:t xml:space="preserve">Location:</w:t>
      </w:r>
      <w:r>
        <w:t xml:space="preserve"> </w:t>
      </w:r>
      <w:r>
        <w:t xml:space="preserve">India Bangalore</w:t>
      </w:r>
    </w:p>
    <w:p>
      <w:pPr>
        <w:pStyle w:val="BodyText"/>
      </w:pPr>
      <w:r>
        <w:rPr>
          <w:bCs/>
          <w:b/>
        </w:rPr>
        <w:t xml:space="preserve">Date of Report:</w:t>
      </w:r>
      <w:r>
        <w:t xml:space="preserve"> </w:t>
      </w:r>
      <w:r>
        <w:t xml:space="preserve">October 26, 2023</w:t>
      </w:r>
    </w:p>
    <w:p>
      <w:pPr>
        <w:pStyle w:val="BodyText"/>
      </w:pPr>
      <w:r>
        <w:rPr>
          <w:bCs/>
          <w:b/>
        </w:rPr>
        <w:t xml:space="preserve">Review Period:</w:t>
      </w:r>
      <w:r>
        <w:t xml:space="preserve"> </w:t>
      </w:r>
      <w:r>
        <w:t xml:space="preserve">FY 2022-2023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proficiency, and ethical adherence of the designated Accountant operating within the financial ecosystem of India Bangalore. As Bangalore continues to solidify its position as the "Silicon Valley of India," the financial landscape here is characterized by rapid technological adoption, complex regulatory requirements, and a high volume of transactions involving startups, multinational corporations, and established enterprises. This report assesses how effectively the Accountant navigates these specific local challenges while maintaining the highest standards of financial reporting and compliance.</w:t>
      </w:r>
    </w:p>
    <w:bookmarkEnd w:id="21"/>
    <w:bookmarkStart w:id="22" w:name="X73ad813fe3632e50c4e1f07c9ae44d4e9de4b56"/>
    <w:p>
      <w:pPr>
        <w:pStyle w:val="Heading2"/>
      </w:pPr>
      <w:r>
        <w:t xml:space="preserve">2. Regulatory Compliance and Statutory Adherence</w:t>
      </w:r>
    </w:p>
    <w:p>
      <w:pPr>
        <w:pStyle w:val="FirstParagraph"/>
      </w:pPr>
      <w:r>
        <w:t xml:space="preserve">A primary focus of this Peer Review Report is the Accountant's ability to manage statutory obligations specific to the jurisdiction of India Bangalore. The review confirms that the Accountant has demonstrated a robust understanding of the Companies Act, 2013, and the Income Tax Act, 1961. Specifically, the handling of Goods and Services Tax (GST) filings has been exemplary. Given the stringent enforcement mechanisms currently active in the Karnataka state tax department, the Accountant's proactive approach to reconciling GSTR-2B with purchase registers has prevented potential penalties and notices.</w:t>
      </w:r>
    </w:p>
    <w:p>
      <w:pPr>
        <w:pStyle w:val="BodyText"/>
      </w:pPr>
      <w:r>
        <w:t xml:space="preserve">Furthermore, the Accountant has successfully managed the complexities of Transfer Pricing documentation, a critical requirement for the numerous IT andITES firms based in India Bangalore. The review highlights that the Accountant ensures all inter-company transactions are documented in accordance with Section 92 of the Income Tax Act, thereby mitigating audit risks for the organization.</w:t>
      </w:r>
    </w:p>
    <w:bookmarkEnd w:id="22"/>
    <w:bookmarkStart w:id="23" w:name="Xd2df928aea7dd4bc44a5b7f688fa838b9de30f8"/>
    <w:p>
      <w:pPr>
        <w:pStyle w:val="Heading2"/>
      </w:pPr>
      <w:r>
        <w:t xml:space="preserve">3. Technical Proficiency and Financial Reporting</w:t>
      </w:r>
    </w:p>
    <w:p>
      <w:pPr>
        <w:pStyle w:val="FirstParagraph"/>
      </w:pPr>
      <w:r>
        <w:t xml:space="preserve">The technical skills of the Accountant were scrutinized through a detailed analysis of financial statements and internal control mechanisms. The Peer Review Report notes that the Accountant adheres strictly to Indian Accounting Standards (Ind AS) where applicable, ensuring that financial reporting is transparent and comparable. The preparation of balance sheets, profit and loss accounts, and cash flow statements has been executed with precision, reflecting a deep understanding of accrual accounting principles.</w:t>
      </w:r>
    </w:p>
    <w:p>
      <w:pPr>
        <w:pStyle w:val="BodyText"/>
      </w:pPr>
      <w:r>
        <w:t xml:space="preserve">In the context of India Bangalore's dynamic market, the Accountant has shown agility in managing multi-currency transactions. With many entities in the region dealing with global clients, the Accountant's ability to handle foreign exchange gains and losses, as well as compliance with the Foreign Exchange Management Act (FEMA), has been a significant asset. The review also commends the Accountant's proficiency in utilizing modern accounting software and ERP systems, which is essential for maintaining efficiency in a fast-paced metropolitan environment.</w:t>
      </w:r>
    </w:p>
    <w:bookmarkEnd w:id="23"/>
    <w:bookmarkStart w:id="24" w:name="internal-controls-and-risk-management"/>
    <w:p>
      <w:pPr>
        <w:pStyle w:val="Heading2"/>
      </w:pPr>
      <w:r>
        <w:t xml:space="preserve">4. Internal Controls and Risk Management</w:t>
      </w:r>
    </w:p>
    <w:p>
      <w:pPr>
        <w:pStyle w:val="FirstParagraph"/>
      </w:pPr>
      <w:r>
        <w:t xml:space="preserve">Effective internal controls are vital for any organization, particularly in a high-growth hub like India Bangalore. This Peer Review Report evaluates the Accountant's role in designing and monitoring these controls. The findings indicate that the Accountant has implemented strong segregation of duties, ensuring that authorization, custody, and recording of transactions are handled by different individuals. This has significantly reduced the risk of fraud and error.</w:t>
      </w:r>
    </w:p>
    <w:p>
      <w:pPr>
        <w:pStyle w:val="BodyText"/>
      </w:pPr>
      <w:r>
        <w:t xml:space="preserve">Additionally, the Accountant has been instrumental in conducting regular internal audits and reconciliations. The review highlights specific instances where the Accountant identified discrepancies in vendor payments and rectified them before they escalated into financial losses. This proactive risk management approach aligns with best practices expected of a senior financial professional in the region.</w:t>
      </w:r>
    </w:p>
    <w:bookmarkEnd w:id="24"/>
    <w:bookmarkStart w:id="25" w:name="professional-ethics-and-conduct"/>
    <w:p>
      <w:pPr>
        <w:pStyle w:val="Heading2"/>
      </w:pPr>
      <w:r>
        <w:t xml:space="preserve">5. Professional Ethics and Conduct</w:t>
      </w:r>
    </w:p>
    <w:p>
      <w:pPr>
        <w:pStyle w:val="FirstParagraph"/>
      </w:pPr>
      <w:r>
        <w:t xml:space="preserve">Integrity is the cornerstone of the accounting profession. This Peer Review Report confirms that the Accountant has maintained the highest levels of professional ethics as outlined by the Institute of Chartered Accountants of India (ICAI). The Accountant has consistently demonstrated objectivity, confidentiality, and professional behavior in all dealings.</w:t>
      </w:r>
    </w:p>
    <w:p>
      <w:pPr>
        <w:pStyle w:val="BodyText"/>
      </w:pPr>
      <w:r>
        <w:t xml:space="preserve">In the competitive business environment of India Bangalore, where pressure to manipulate figures can sometimes arise, the Accountant has remained steadfast in upholding ethical standards. The review notes that the Accountant has refused to compromise on compliance requirements, even when faced with conflicting demands from management, thereby safeguarding the organization's reputation and legal standing.</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enhancement. First, there is an opportunity for the Accountant to further leverage data analytics tools to provide deeper financial insights and predictive modeling. As India Bangalore leads in digital transformation, integrating advanced analytics into financial reporting could add significant value.</w:t>
      </w:r>
    </w:p>
    <w:p>
      <w:pPr>
        <w:pStyle w:val="BodyText"/>
      </w:pPr>
      <w:r>
        <w:t xml:space="preserve">Second, the Accountant is encouraged to stay updated on the evolving regulatory landscape, particularly regarding new digital taxation laws and environmental, social, and governance (ESG) reporting requirements, which are gaining traction among investors in the region.</w:t>
      </w:r>
    </w:p>
    <w:bookmarkEnd w:id="26"/>
    <w:bookmarkStart w:id="27" w:name="conclusion"/>
    <w:p>
      <w:pPr>
        <w:pStyle w:val="Heading2"/>
      </w:pPr>
      <w:r>
        <w:t xml:space="preserve">7. Conclusion</w:t>
      </w:r>
    </w:p>
    <w:p>
      <w:pPr>
        <w:pStyle w:val="FirstParagraph"/>
      </w:pPr>
      <w:r>
        <w:t xml:space="preserve">In conclusion, this Peer Review Report affirms that the Accountant has performed their duties with a high degree of competence, diligence, and integrity. Their contributions have been instrumental in ensuring the financial health and regulatory compliance of the organization within the challenging and dynamic environment of India Bangalore. The Accountant's ability to balance technical expertise with ethical conduct makes them a valuable asset to the firm. It is recommended that the Accountant continue their professional development to stay ahead of emerging trends in the financial sector.</w:t>
      </w:r>
    </w:p>
    <w:bookmarkEnd w:id="27"/>
    <w:p>
      <w:pPr>
        <w:pStyle w:val="BodyText"/>
      </w:pPr>
      <w:r>
        <w:rPr>
          <w:bCs/>
          <w:b/>
        </w:rPr>
        <w:t xml:space="preserve">Prepared by:</w:t>
      </w:r>
    </w:p>
    <w:p>
      <w:pPr>
        <w:pStyle w:val="BodyText"/>
      </w:pPr>
      <w:r>
        <w:t xml:space="preserve">Senior Peer Review Committee</w:t>
      </w:r>
    </w:p>
    <w:p>
      <w:pPr>
        <w:pStyle w:val="BodyText"/>
      </w:pPr>
      <w:r>
        <w:rPr>
          <w:bCs/>
          <w:b/>
        </w:rPr>
        <w:t xml:space="preserve">Approved by:</w:t>
      </w:r>
    </w:p>
    <w:p>
      <w:pPr>
        <w:pStyle w:val="BodyText"/>
      </w:pPr>
      <w:r>
        <w:t xml:space="preserve">Head of Finance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India Bangalore</dc:title>
  <dc:creator/>
  <dc:language>en</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