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t xml:space="preserve">Professional Evaluation of Accounting Standards and Compliance</w:t>
      </w:r>
    </w:p>
    <w:p>
      <w:pPr>
        <w:pStyle w:val="BodyText"/>
      </w:pPr>
      <w:r>
        <w:t xml:space="preserve">Report ID:</w:t>
      </w:r>
      <w:r>
        <w:t xml:space="preserve"> </w:t>
      </w:r>
      <w:r>
        <w:t xml:space="preserve">PR-IRN-TH-2023-089</w:t>
      </w:r>
    </w:p>
    <w:p>
      <w:pPr>
        <w:pStyle w:val="BodyText"/>
      </w:pPr>
      <w:r>
        <w:t xml:space="preserve">Date:</w:t>
      </w:r>
      <w:r>
        <w:t xml:space="preserve"> </w:t>
      </w:r>
      <w:r>
        <w:t xml:space="preserve">October 24, 2023</w:t>
      </w:r>
    </w:p>
    <w:p>
      <w:pPr>
        <w:pStyle w:val="BodyText"/>
      </w:pPr>
      <w:r>
        <w:t xml:space="preserve">Location:</w:t>
      </w:r>
      <w:r>
        <w:t xml:space="preserve"> </w:t>
      </w:r>
      <w:r>
        <w:t xml:space="preserve">Tehran, Iran</w:t>
      </w:r>
    </w:p>
    <w:p>
      <w:pPr>
        <w:pStyle w:val="BodyText"/>
      </w:pPr>
      <w:r>
        <w:t xml:space="preserve">Subject:</w:t>
      </w:r>
      <w:r>
        <w:t xml:space="preserve"> </w:t>
      </w:r>
      <w:r>
        <w:t xml:space="preserve">Independent Accountant Practice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competence, ethical adherence, and technical accuracy of the accounting practices conducted by the subject</w:t>
      </w:r>
      <w:r>
        <w:t xml:space="preserve"> </w:t>
      </w:r>
      <w:r>
        <w:rPr>
          <w:bCs/>
          <w:b/>
        </w:rPr>
        <w:t xml:space="preserve">Accountant</w:t>
      </w:r>
      <w:r>
        <w:t xml:space="preserve"> </w:t>
      </w:r>
      <w:r>
        <w:t xml:space="preserve">operating within the jurisdiction of</w:t>
      </w:r>
      <w:r>
        <w:t xml:space="preserve"> </w:t>
      </w:r>
      <w:r>
        <w:rPr>
          <w:bCs/>
          <w:b/>
        </w:rPr>
        <w:t xml:space="preserve">Iran, Tehran</w:t>
      </w:r>
      <w:r>
        <w:t xml:space="preserve">. The primary objective of this review is to ensure that the financial reporting, tax compliance, and auditing procedures align with the International Financial Reporting Standards (IFRS) as adopted by the Iranian Accounting Standards Board (IASB), as well as local regulations enforced by the Iranian Organization for Certified Public Accountants (IOCPA).</w:t>
      </w:r>
    </w:p>
    <w:p>
      <w:pPr>
        <w:pStyle w:val="BodyText"/>
      </w:pPr>
      <w:r>
        <w:t xml:space="preserve">The review process involved a comprehensive examination of a sample of client files, internal control assessments, and interviews with key personnel. The findings indicate a generally high level of professionalism, though specific areas regarding digital transformation and complex tax structuring in the Tehran metropolitan area require attention.</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fiscal years 2022 and 2023. The review was conducted in accordance with the IOCPA's Code of Professional Conduct and the specific guidelines for peer reviews in the Islamic Republic of Iran. The methodology included:</w:t>
      </w:r>
    </w:p>
    <w:p>
      <w:pPr>
        <w:numPr>
          <w:ilvl w:val="0"/>
          <w:numId w:val="1001"/>
        </w:numPr>
        <w:pStyle w:val="Compact"/>
      </w:pPr>
      <w:r>
        <w:rPr>
          <w:bCs/>
          <w:b/>
        </w:rPr>
        <w:t xml:space="preserve">Documentary Analysis:</w:t>
      </w:r>
      <w:r>
        <w:t xml:space="preserve"> </w:t>
      </w:r>
      <w:r>
        <w:t xml:space="preserve">Review of 15 randomly selected audit files and 10 tax return submissions prepared by the</w:t>
      </w:r>
      <w:r>
        <w:t xml:space="preserve"> </w:t>
      </w:r>
      <w:r>
        <w:rPr>
          <w:bCs/>
          <w:b/>
        </w:rPr>
        <w:t xml:space="preserve">Accountant</w:t>
      </w:r>
      <w:r>
        <w:t xml:space="preserve">.</w:t>
      </w:r>
    </w:p>
    <w:p>
      <w:pPr>
        <w:numPr>
          <w:ilvl w:val="0"/>
          <w:numId w:val="1001"/>
        </w:numPr>
        <w:pStyle w:val="Compact"/>
      </w:pPr>
      <w:r>
        <w:rPr>
          <w:bCs/>
          <w:b/>
        </w:rPr>
        <w:t xml:space="preserve">Regulatory Compliance Check:</w:t>
      </w:r>
      <w:r>
        <w:t xml:space="preserve"> </w:t>
      </w:r>
      <w:r>
        <w:t xml:space="preserve">Verification of adherence to the Iranian Commercial Code and the Direct Taxes Act.</w:t>
      </w:r>
    </w:p>
    <w:p>
      <w:pPr>
        <w:numPr>
          <w:ilvl w:val="0"/>
          <w:numId w:val="1001"/>
        </w:numPr>
        <w:pStyle w:val="Compact"/>
      </w:pPr>
      <w:r>
        <w:rPr>
          <w:bCs/>
          <w:b/>
        </w:rPr>
        <w:t xml:space="preserve">Fieldwork Observation:</w:t>
      </w:r>
      <w:r>
        <w:t xml:space="preserve"> </w:t>
      </w:r>
      <w:r>
        <w:t xml:space="preserve">On-site observation of accounting workflows at the firm's office in Tehran.</w:t>
      </w:r>
    </w:p>
    <w:p>
      <w:pPr>
        <w:numPr>
          <w:ilvl w:val="0"/>
          <w:numId w:val="1001"/>
        </w:numPr>
        <w:pStyle w:val="Compact"/>
      </w:pPr>
      <w:r>
        <w:rPr>
          <w:bCs/>
          <w:b/>
        </w:rPr>
        <w:t xml:space="preserve">Interviews:</w:t>
      </w:r>
      <w:r>
        <w:t xml:space="preserve"> </w:t>
      </w:r>
      <w:r>
        <w:t xml:space="preserve">Discussions with the</w:t>
      </w:r>
      <w:r>
        <w:t xml:space="preserve"> </w:t>
      </w:r>
      <w:r>
        <w:rPr>
          <w:bCs/>
          <w:b/>
        </w:rPr>
        <w:t xml:space="preserve">Accountant</w:t>
      </w:r>
      <w:r>
        <w:t xml:space="preserve"> </w:t>
      </w:r>
      <w:r>
        <w:t xml:space="preserve">regarding their approach to ethical dilemmas and client confidentiality.</w:t>
      </w:r>
    </w:p>
    <w:bookmarkEnd w:id="22"/>
    <w:bookmarkStart w:id="25" w:name="technical-competence-and-standards"/>
    <w:p>
      <w:pPr>
        <w:pStyle w:val="Heading2"/>
      </w:pPr>
      <w:r>
        <w:t xml:space="preserve">3. Technical Competence and Standards</w:t>
      </w:r>
    </w:p>
    <w:bookmarkStart w:id="23" w:name="application-of-accounting-standards"/>
    <w:p>
      <w:pPr>
        <w:pStyle w:val="Heading3"/>
      </w:pPr>
      <w:r>
        <w:t xml:space="preserve">3.1 Application of Accounting Standards</w:t>
      </w:r>
    </w:p>
    <w:p>
      <w:pPr>
        <w:pStyle w:val="FirstParagraph"/>
      </w:pPr>
      <w:r>
        <w:t xml:space="preserve">The</w:t>
      </w:r>
      <w:r>
        <w:t xml:space="preserve"> </w:t>
      </w:r>
      <w:r>
        <w:rPr>
          <w:bCs/>
          <w:b/>
        </w:rPr>
        <w:t xml:space="preserve">Accountant</w:t>
      </w:r>
      <w:r>
        <w:t xml:space="preserve"> </w:t>
      </w:r>
      <w:r>
        <w:t xml:space="preserve">demonstrated a robust understanding of the accounting standards currently applicable in</w:t>
      </w:r>
      <w:r>
        <w:t xml:space="preserve"> </w:t>
      </w:r>
      <w:r>
        <w:rPr>
          <w:bCs/>
          <w:b/>
        </w:rPr>
        <w:t xml:space="preserve">Iran, Tehran</w:t>
      </w:r>
      <w:r>
        <w:t xml:space="preserve">. The financial statements reviewed were prepared in accordance with the Iranian Financial Reporting Standards (IFRS), which have been largely harmonized with international norms. The treatment of revenue recognition, lease accounting, and financial instruments was found to be accurate and well-documented.</w:t>
      </w:r>
    </w:p>
    <w:p>
      <w:pPr>
        <w:pStyle w:val="BodyText"/>
      </w:pPr>
      <w:r>
        <w:t xml:space="preserve">However, the review noted that while the application of standards is technically sound, the explanatory notes in some financial statements lacked the depth required for complex transactions involving foreign currency. Given the economic volatility in</w:t>
      </w:r>
      <w:r>
        <w:t xml:space="preserve"> </w:t>
      </w:r>
      <w:r>
        <w:rPr>
          <w:bCs/>
          <w:b/>
        </w:rPr>
        <w:t xml:space="preserve">Iran</w:t>
      </w:r>
      <w:r>
        <w:t xml:space="preserve">, the</w:t>
      </w:r>
      <w:r>
        <w:t xml:space="preserve"> </w:t>
      </w:r>
      <w:r>
        <w:rPr>
          <w:bCs/>
          <w:b/>
        </w:rPr>
        <w:t xml:space="preserve">Accountant</w:t>
      </w:r>
      <w:r>
        <w:t xml:space="preserve"> </w:t>
      </w:r>
      <w:r>
        <w:t xml:space="preserve">must ensure that disclosures regarding currency revaluation and hedging are exceptionally clear to meet the expectations of stakeholders in Tehran's competitive market.</w:t>
      </w:r>
    </w:p>
    <w:bookmarkEnd w:id="23"/>
    <w:bookmarkStart w:id="24" w:name="tax-compliance-and-advisory"/>
    <w:p>
      <w:pPr>
        <w:pStyle w:val="Heading3"/>
      </w:pPr>
      <w:r>
        <w:t xml:space="preserve">3.2 Tax Compliance and Advisory</w:t>
      </w:r>
    </w:p>
    <w:p>
      <w:pPr>
        <w:pStyle w:val="FirstParagraph"/>
      </w:pPr>
      <w:r>
        <w:t xml:space="preserve">A critical aspect of this</w:t>
      </w:r>
      <w:r>
        <w:t xml:space="preserve"> </w:t>
      </w:r>
      <w:r>
        <w:rPr>
          <w:bCs/>
          <w:b/>
        </w:rPr>
        <w:t xml:space="preserve">Peer Review Report</w:t>
      </w:r>
      <w:r>
        <w:t xml:space="preserve"> </w:t>
      </w:r>
      <w:r>
        <w:t xml:space="preserve">is the evaluation of tax compliance. The</w:t>
      </w:r>
      <w:r>
        <w:t xml:space="preserve"> </w:t>
      </w:r>
      <w:r>
        <w:rPr>
          <w:bCs/>
          <w:b/>
        </w:rPr>
        <w:t xml:space="preserve">Accountant</w:t>
      </w:r>
      <w:r>
        <w:t xml:space="preserve"> </w:t>
      </w:r>
      <w:r>
        <w:t xml:space="preserve">showed proficiency in navigating the Iranian tax system, including Value Added Tax (VAT) and corporate income tax. The submissions to the Tehran Tax Administration were timely and accurate.</w:t>
      </w:r>
    </w:p>
    <w:p>
      <w:pPr>
        <w:pStyle w:val="BodyText"/>
      </w:pPr>
      <w:r>
        <w:t xml:space="preserve">The review highlights that the</w:t>
      </w:r>
      <w:r>
        <w:t xml:space="preserve"> </w:t>
      </w:r>
      <w:r>
        <w:rPr>
          <w:bCs/>
          <w:b/>
        </w:rPr>
        <w:t xml:space="preserve">Accountant</w:t>
      </w:r>
      <w:r>
        <w:t xml:space="preserve"> </w:t>
      </w:r>
      <w:r>
        <w:t xml:space="preserve">effectively utilized the "My Tax" electronic portal, which is mandatory for businesses in</w:t>
      </w:r>
      <w:r>
        <w:t xml:space="preserve"> </w:t>
      </w:r>
      <w:r>
        <w:rPr>
          <w:bCs/>
          <w:b/>
        </w:rPr>
        <w:t xml:space="preserve">Tehran</w:t>
      </w:r>
      <w:r>
        <w:t xml:space="preserve">. Nevertheless, there is an opportunity to enhance advisory services regarding international tax treaties and transfer pricing, which are increasingly relevant for Tehran-based firms engaging in cross-border trade.</w:t>
      </w:r>
    </w:p>
    <w:bookmarkEnd w:id="24"/>
    <w:bookmarkEnd w:id="25"/>
    <w:bookmarkStart w:id="26" w:name="Xcec0cdfbf541da75d39637666249479350353d9"/>
    <w:p>
      <w:pPr>
        <w:pStyle w:val="Heading2"/>
      </w:pPr>
      <w:r>
        <w:t xml:space="preserve">4. Ethical Considerations and Professional Conduct</w:t>
      </w:r>
    </w:p>
    <w:p>
      <w:pPr>
        <w:pStyle w:val="FirstParagraph"/>
      </w:pPr>
      <w:r>
        <w:t xml:space="preserve">Integrity and objectivity are paramount for any</w:t>
      </w:r>
      <w:r>
        <w:t xml:space="preserve"> </w:t>
      </w:r>
      <w:r>
        <w:rPr>
          <w:bCs/>
          <w:b/>
        </w:rPr>
        <w:t xml:space="preserve">Accountant</w:t>
      </w:r>
      <w:r>
        <w:t xml:space="preserve">. This</w:t>
      </w:r>
      <w:r>
        <w:t xml:space="preserve"> </w:t>
      </w:r>
      <w:r>
        <w:rPr>
          <w:bCs/>
          <w:b/>
        </w:rPr>
        <w:t xml:space="preserve">Peer Review Report</w:t>
      </w:r>
      <w:r>
        <w:t xml:space="preserve"> </w:t>
      </w:r>
      <w:r>
        <w:t xml:space="preserve">confirms that the subject adheres strictly to the IOCPA Code of Ethics. There were no instances of conflicts of interest identified during the review period. The</w:t>
      </w:r>
      <w:r>
        <w:t xml:space="preserve"> </w:t>
      </w:r>
      <w:r>
        <w:rPr>
          <w:bCs/>
          <w:b/>
        </w:rPr>
        <w:t xml:space="preserve">Accountant</w:t>
      </w:r>
      <w:r>
        <w:t xml:space="preserve"> </w:t>
      </w:r>
      <w:r>
        <w:t xml:space="preserve">maintained appropriate independence in audit engagements and demonstrated a strong commitment to confidentiality.</w:t>
      </w:r>
    </w:p>
    <w:p>
      <w:pPr>
        <w:pStyle w:val="BodyText"/>
      </w:pPr>
      <w:r>
        <w:t xml:space="preserve">In the context of</w:t>
      </w:r>
      <w:r>
        <w:t xml:space="preserve"> </w:t>
      </w:r>
      <w:r>
        <w:rPr>
          <w:bCs/>
          <w:b/>
        </w:rPr>
        <w:t xml:space="preserve">Iran, Tehran</w:t>
      </w:r>
      <w:r>
        <w:t xml:space="preserve">, where business relationships can be deeply personal, the</w:t>
      </w:r>
      <w:r>
        <w:t xml:space="preserve"> </w:t>
      </w:r>
      <w:r>
        <w:rPr>
          <w:bCs/>
          <w:b/>
        </w:rPr>
        <w:t xml:space="preserve">Accountant</w:t>
      </w:r>
      <w:r>
        <w:t xml:space="preserve"> </w:t>
      </w:r>
      <w:r>
        <w:t xml:space="preserve">successfully maintained professional boundaries. The firm's policies on gifts and hospitality were reviewed and found to be compliant with ethical standards.</w:t>
      </w:r>
    </w:p>
    <w:bookmarkEnd w:id="26"/>
    <w:bookmarkStart w:id="27" w:name="quality-control-and-internal-procedures"/>
    <w:p>
      <w:pPr>
        <w:pStyle w:val="Heading2"/>
      </w:pPr>
      <w:r>
        <w:t xml:space="preserve">5. Quality Control and Internal Procedures</w:t>
      </w:r>
    </w:p>
    <w:p>
      <w:pPr>
        <w:pStyle w:val="FirstParagraph"/>
      </w:pPr>
      <w:r>
        <w:t xml:space="preserve">The quality control system implemented by the</w:t>
      </w:r>
      <w:r>
        <w:t xml:space="preserve"> </w:t>
      </w:r>
      <w:r>
        <w:rPr>
          <w:bCs/>
          <w:b/>
        </w:rPr>
        <w:t xml:space="preserve">Accountant</w:t>
      </w:r>
      <w:r>
        <w:t xml:space="preserve"> </w:t>
      </w:r>
      <w:r>
        <w:t xml:space="preserve">was evaluated against the IOCPA's quality management standards. The firm in</w:t>
      </w:r>
      <w:r>
        <w:t xml:space="preserve"> </w:t>
      </w:r>
      <w:r>
        <w:rPr>
          <w:bCs/>
          <w:b/>
        </w:rPr>
        <w:t xml:space="preserve">Tehran</w:t>
      </w:r>
      <w:r>
        <w:t xml:space="preserve"> </w:t>
      </w:r>
      <w:r>
        <w:t xml:space="preserve">has established clear protocols for file documentation, review hierarchies, and staff training.</w:t>
      </w:r>
    </w:p>
    <w:p>
      <w:pPr>
        <w:pStyle w:val="BodyText"/>
      </w:pPr>
      <w:r>
        <w:rPr>
          <w:bCs/>
          <w:b/>
        </w:rPr>
        <w:t xml:space="preserve">Observation:</w:t>
      </w:r>
      <w:r>
        <w:t xml:space="preserve"> </w:t>
      </w:r>
      <w:r>
        <w:t xml:space="preserve">The firm utilizes modern accounting software tailored for the Iranian market, which facilitates accurate VAT calculations and financial reporting. However, the backup and cybersecurity protocols for client data need strengthening to protect against digital threats prevalent in the region.</w:t>
      </w:r>
    </w:p>
    <w:p>
      <w:pPr>
        <w:pStyle w:val="BodyText"/>
      </w:pPr>
      <w:r>
        <w:t xml:space="preserve">The</w:t>
      </w:r>
      <w:r>
        <w:t xml:space="preserve"> </w:t>
      </w:r>
      <w:r>
        <w:rPr>
          <w:bCs/>
          <w:b/>
        </w:rPr>
        <w:t xml:space="preserve">Peer Review Report</w:t>
      </w:r>
      <w:r>
        <w:t xml:space="preserve"> </w:t>
      </w:r>
      <w:r>
        <w:t xml:space="preserve">recommends that the</w:t>
      </w:r>
      <w:r>
        <w:t xml:space="preserve"> </w:t>
      </w:r>
      <w:r>
        <w:rPr>
          <w:bCs/>
          <w:b/>
        </w:rPr>
        <w:t xml:space="preserve">Accountant</w:t>
      </w:r>
      <w:r>
        <w:t xml:space="preserve"> </w:t>
      </w:r>
      <w:r>
        <w:t xml:space="preserve">implement more rigorous data encryption measures and regular cybersecurity drills. This is particularly important given the increasing digitization of financial services in</w:t>
      </w:r>
      <w:r>
        <w:t xml:space="preserve"> </w:t>
      </w:r>
      <w:r>
        <w:rPr>
          <w:bCs/>
          <w:b/>
        </w:rPr>
        <w:t xml:space="preserve">Tehran</w:t>
      </w:r>
      <w:r>
        <w:t xml:space="preserve">.</w:t>
      </w:r>
    </w:p>
    <w:bookmarkEnd w:id="27"/>
    <w:bookmarkStart w:id="28" w:name="findings-and-recommendations"/>
    <w:p>
      <w:pPr>
        <w:pStyle w:val="Heading2"/>
      </w:pPr>
      <w:r>
        <w:t xml:space="preserve">6. Findings and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Review</w:t>
            </w:r>
          </w:p>
        </w:tc>
        <w:tc>
          <w:tcPr/>
          <w:p>
            <w:pPr>
              <w:pStyle w:val="Compact"/>
              <w:jc w:val="left"/>
            </w:pPr>
            <w:r>
              <w:t xml:space="preserve">Finding</w:t>
            </w:r>
          </w:p>
        </w:tc>
        <w:tc>
          <w:tcPr/>
          <w:p>
            <w:pPr>
              <w:pStyle w:val="Compact"/>
              <w:jc w:val="left"/>
            </w:pPr>
            <w:r>
              <w:t xml:space="preserve">Recommendation</w:t>
            </w:r>
          </w:p>
        </w:tc>
      </w:tr>
      <w:tr>
        <w:tc>
          <w:tcPr/>
          <w:p>
            <w:pPr>
              <w:pStyle w:val="Compact"/>
              <w:jc w:val="left"/>
            </w:pPr>
            <w:r>
              <w:t xml:space="preserve">Financial Reporting</w:t>
            </w:r>
          </w:p>
        </w:tc>
        <w:tc>
          <w:tcPr/>
          <w:p>
            <w:pPr>
              <w:pStyle w:val="Compact"/>
              <w:jc w:val="left"/>
            </w:pPr>
            <w:r>
              <w:t xml:space="preserve">High accuracy in IFRS application.</w:t>
            </w:r>
          </w:p>
        </w:tc>
        <w:tc>
          <w:tcPr/>
          <w:p>
            <w:pPr>
              <w:pStyle w:val="Compact"/>
              <w:jc w:val="left"/>
            </w:pPr>
            <w:r>
              <w:t xml:space="preserve">Enhance disclosures for foreign currency transactions.</w:t>
            </w:r>
          </w:p>
        </w:tc>
      </w:tr>
      <w:tr>
        <w:tc>
          <w:tcPr/>
          <w:p>
            <w:pPr>
              <w:pStyle w:val="Compact"/>
              <w:jc w:val="left"/>
            </w:pPr>
            <w:r>
              <w:t xml:space="preserve">Tax Compliance</w:t>
            </w:r>
          </w:p>
        </w:tc>
        <w:tc>
          <w:tcPr/>
          <w:p>
            <w:pPr>
              <w:pStyle w:val="Compact"/>
              <w:jc w:val="left"/>
            </w:pPr>
            <w:r>
              <w:t xml:space="preserve">Compliant with local laws and e-filing.</w:t>
            </w:r>
          </w:p>
        </w:tc>
        <w:tc>
          <w:tcPr/>
          <w:p>
            <w:pPr>
              <w:pStyle w:val="Compact"/>
              <w:jc w:val="left"/>
            </w:pPr>
            <w:r>
              <w:t xml:space="preserve">Expand advisory on international tax implications.</w:t>
            </w:r>
          </w:p>
        </w:tc>
      </w:tr>
      <w:tr>
        <w:tc>
          <w:tcPr/>
          <w:p>
            <w:pPr>
              <w:pStyle w:val="Compact"/>
              <w:jc w:val="left"/>
            </w:pPr>
            <w:r>
              <w:t xml:space="preserve">Technology</w:t>
            </w:r>
          </w:p>
        </w:tc>
        <w:tc>
          <w:tcPr/>
          <w:p>
            <w:pPr>
              <w:pStyle w:val="Compact"/>
              <w:jc w:val="left"/>
            </w:pPr>
            <w:r>
              <w:t xml:space="preserve">Good use of local software.</w:t>
            </w:r>
          </w:p>
        </w:tc>
        <w:tc>
          <w:tcPr/>
          <w:p>
            <w:pPr>
              <w:pStyle w:val="Compact"/>
              <w:jc w:val="left"/>
            </w:pPr>
            <w:r>
              <w:t xml:space="preserve">Upgrade cybersecurity and data backup systems.</w:t>
            </w:r>
          </w:p>
        </w:tc>
      </w:tr>
      <w:tr>
        <w:tc>
          <w:tcPr/>
          <w:p>
            <w:pPr>
              <w:pStyle w:val="Compact"/>
              <w:jc w:val="left"/>
            </w:pPr>
            <w:r>
              <w:t xml:space="preserve">Staff Training</w:t>
            </w:r>
          </w:p>
        </w:tc>
        <w:tc>
          <w:tcPr/>
          <w:p>
            <w:pPr>
              <w:pStyle w:val="Compact"/>
              <w:jc w:val="left"/>
            </w:pPr>
            <w:r>
              <w:t xml:space="preserve">Regular training conducted.</w:t>
            </w:r>
          </w:p>
        </w:tc>
        <w:tc>
          <w:tcPr/>
          <w:p>
            <w:pPr>
              <w:pStyle w:val="Compact"/>
              <w:jc w:val="left"/>
            </w:pPr>
            <w:r>
              <w:t xml:space="preserve">Incorporate more training on emerging digital tools.</w:t>
            </w:r>
          </w:p>
        </w:tc>
      </w:tr>
    </w:tbl>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Accountant</w:t>
      </w:r>
      <w:r>
        <w:t xml:space="preserve"> </w:t>
      </w:r>
      <w:r>
        <w:t xml:space="preserve">operating in</w:t>
      </w:r>
      <w:r>
        <w:t xml:space="preserve"> </w:t>
      </w:r>
      <w:r>
        <w:rPr>
          <w:bCs/>
          <w:b/>
        </w:rPr>
        <w:t xml:space="preserve">Iran, Tehran</w:t>
      </w:r>
      <w:r>
        <w:t xml:space="preserve"> </w:t>
      </w:r>
      <w:r>
        <w:t xml:space="preserve">maintains a high standard of professional practice. The firm demonstrates technical competence, ethical integrity, and a commitment to quality control. The recommendations provided are intended to further enhance the firm's resilience and adaptability in the evolving economic landscape of Tehran.</w:t>
      </w:r>
    </w:p>
    <w:p>
      <w:pPr>
        <w:pStyle w:val="BodyText"/>
      </w:pPr>
      <w:r>
        <w:t xml:space="preserve">The</w:t>
      </w:r>
      <w:r>
        <w:t xml:space="preserve"> </w:t>
      </w:r>
      <w:r>
        <w:rPr>
          <w:bCs/>
          <w:b/>
        </w:rPr>
        <w:t xml:space="preserve">Accountant</w:t>
      </w:r>
      <w:r>
        <w:t xml:space="preserve"> </w:t>
      </w:r>
      <w:r>
        <w:t xml:space="preserve">is encouraged to address the identified areas for improvement within the next six months. A follow-up review may be scheduled to verify the implementation of these recommendations. Overall, the practice is deemed to be in good standing and capable of providing reliable financial services to its clients in the region.</w:t>
      </w:r>
    </w:p>
    <w:bookmarkEnd w:id="29"/>
    <w:p>
      <w:pPr>
        <w:pStyle w:val="BodyText"/>
      </w:pPr>
      <w:r>
        <w:rPr>
          <w:bCs/>
          <w:b/>
        </w:rPr>
        <w:t xml:space="preserve">Reviewed By:</w:t>
      </w:r>
    </w:p>
    <w:p>
      <w:pPr>
        <w:pStyle w:val="BodyText"/>
      </w:pPr>
      <w:r>
        <w:t xml:space="preserve">Dr. Ali Rezaei, CPA</w:t>
      </w:r>
    </w:p>
    <w:p>
      <w:pPr>
        <w:pStyle w:val="BodyText"/>
      </w:pPr>
      <w:r>
        <w:t xml:space="preserve">Senior Peer Reviewer</w:t>
      </w:r>
    </w:p>
    <w:p>
      <w:pPr>
        <w:pStyle w:val="BodyText"/>
      </w:pPr>
      <w:r>
        <w:t xml:space="preserve">IOCPA Accredited</w:t>
      </w:r>
    </w:p>
    <w:p>
      <w:pPr>
        <w:pStyle w:val="BodyText"/>
      </w:pPr>
      <w:r>
        <w:rPr>
          <w:bCs/>
          <w:b/>
        </w:rPr>
        <w:t xml:space="preserve">Acknowledged By:</w:t>
      </w:r>
    </w:p>
    <w:p>
      <w:pPr>
        <w:pStyle w:val="BodyText"/>
      </w:pPr>
      <w:r>
        <w:t xml:space="preserve">[Accountant Name]</w:t>
      </w:r>
    </w:p>
    <w:p>
      <w:pPr>
        <w:pStyle w:val="BodyText"/>
      </w:pPr>
      <w:r>
        <w:t xml:space="preserve">Principal Accountant</w:t>
      </w:r>
    </w:p>
    <w:p>
      <w:pPr>
        <w:pStyle w:val="BodyText"/>
      </w:pPr>
      <w:r>
        <w:t xml:space="preserve">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Practices in Tehran, Iran</dc:title>
  <dc:creator/>
  <dc:language>en</dc:language>
  <cp:keywords/>
  <dcterms:created xsi:type="dcterms:W3CDTF">2026-10-10T10:20:37Z</dcterms:created>
  <dcterms:modified xsi:type="dcterms:W3CDTF">2026-10-10T10:20:37Z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