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Accounting</w:t>
      </w:r>
      <w:r>
        <w:t xml:space="preserve"> </w:t>
      </w:r>
      <w:r>
        <w:t xml:space="preserve">Practice</w:t>
      </w:r>
      <w:r>
        <w:t xml:space="preserve"> </w:t>
      </w:r>
      <w:r>
        <w:t xml:space="preserve">in</w:t>
      </w:r>
      <w:r>
        <w:t xml:space="preserve"> </w:t>
      </w:r>
      <w:r>
        <w:t xml:space="preserve">Israel</w:t>
      </w:r>
      <w:r>
        <w:t xml:space="preserve"> </w:t>
      </w:r>
      <w:r>
        <w:t xml:space="preserve">Jerusalem</w:t>
      </w:r>
    </w:p>
    <w:bookmarkStart w:id="20" w:name="peer-review-report"/>
    <w:p>
      <w:pPr>
        <w:pStyle w:val="Heading1"/>
      </w:pPr>
      <w:r>
        <w:t xml:space="preserve">Peer Review Report</w:t>
      </w:r>
    </w:p>
    <w:p>
      <w:pPr>
        <w:pStyle w:val="FirstParagraph"/>
      </w:pPr>
      <w:r>
        <w:t xml:space="preserve">Independent Quality Assurance Assessment</w:t>
      </w:r>
    </w:p>
    <w:p>
      <w:pPr>
        <w:pStyle w:val="BodyText"/>
      </w:pPr>
      <w:r>
        <w:t xml:space="preserve">Report Reference:</w:t>
      </w:r>
      <w:r>
        <w:t xml:space="preserve"> </w:t>
      </w:r>
      <w:r>
        <w:t xml:space="preserve">PR-IL-JER-2023-089</w:t>
      </w:r>
    </w:p>
    <w:p>
      <w:pPr>
        <w:pStyle w:val="BodyText"/>
      </w:pPr>
      <w:r>
        <w:t xml:space="preserve">Date of Issue:</w:t>
      </w:r>
      <w:r>
        <w:t xml:space="preserve"> </w:t>
      </w:r>
      <w:r>
        <w:t xml:space="preserve">October 24, 2023</w:t>
      </w:r>
    </w:p>
    <w:p>
      <w:pPr>
        <w:pStyle w:val="BodyText"/>
      </w:pPr>
      <w:r>
        <w:t xml:space="preserve">Jurisdiction:</w:t>
      </w:r>
      <w:r>
        <w:t xml:space="preserve"> </w:t>
      </w:r>
      <w:r>
        <w:t xml:space="preserve">Israel Jerusalem</w:t>
      </w:r>
    </w:p>
    <w:p>
      <w:pPr>
        <w:pStyle w:val="BodyText"/>
      </w:pPr>
      <w:r>
        <w:t xml:space="preserve">Regulatory Body:</w:t>
      </w:r>
      <w:r>
        <w:t xml:space="preserve"> </w:t>
      </w:r>
      <w:r>
        <w:t xml:space="preserve">Institute of Certified Public Accountants of Israel (ICPAI)</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documents the findings of a comprehensive quality control assessment conducted on the accounting practice of</w:t>
      </w:r>
      <w:r>
        <w:t xml:space="preserve"> </w:t>
      </w:r>
      <w:r>
        <w:rPr>
          <w:bCs/>
          <w:b/>
        </w:rPr>
        <w:t xml:space="preserve">Accountant</w:t>
      </w:r>
      <w:r>
        <w:t xml:space="preserve"> </w:t>
      </w:r>
      <w:r>
        <w:t xml:space="preserve">David Cohen, CPA, located in the heart of</w:t>
      </w:r>
      <w:r>
        <w:t xml:space="preserve"> </w:t>
      </w:r>
      <w:r>
        <w:rPr>
          <w:bCs/>
          <w:b/>
        </w:rPr>
        <w:t xml:space="preserve">Israel Jerusalem</w:t>
      </w:r>
      <w:r>
        <w:t xml:space="preserve">. The review was initiated in accordance with the mandatory peer review regulations set forth by the Institute of Certified Public Accountants of Israel (ICPAI) and aligns with International Standard on Quality Control (ISQC) 1. The primary objective of this evaluation was to determine whether the firm’s system of quality control is suitably designed and effectively implemented to provide the</w:t>
      </w:r>
      <w:r>
        <w:t xml:space="preserve"> </w:t>
      </w:r>
      <w:r>
        <w:rPr>
          <w:bCs/>
          <w:b/>
        </w:rPr>
        <w:t xml:space="preserve">Accountant</w:t>
      </w:r>
      <w:r>
        <w:t xml:space="preserve"> </w:t>
      </w:r>
      <w:r>
        <w:t xml:space="preserve">with reasonable assurance that the firm and its personnel comply with professional standards and regulatory requirements applicable in</w:t>
      </w:r>
      <w:r>
        <w:t xml:space="preserve"> </w:t>
      </w:r>
      <w:r>
        <w:rPr>
          <w:bCs/>
          <w:b/>
        </w:rPr>
        <w:t xml:space="preserve">Israel Jerusalem</w:t>
      </w:r>
      <w:r>
        <w:t xml:space="preserve">.</w:t>
      </w:r>
    </w:p>
    <w:p>
      <w:pPr>
        <w:pStyle w:val="BodyText"/>
      </w:pPr>
      <w:r>
        <w:t xml:space="preserve">The review team examined a sample of audit and tax engagement files selected from the firm’s portfolio during the fiscal year 2022-2023. The assessment focused on the</w:t>
      </w:r>
      <w:r>
        <w:t xml:space="preserve"> </w:t>
      </w:r>
      <w:r>
        <w:rPr>
          <w:bCs/>
          <w:b/>
        </w:rPr>
        <w:t xml:space="preserve">Accountant</w:t>
      </w:r>
      <w:r>
        <w:t xml:space="preserve">'s adherence to Israeli Generally Accepted Accounting Standards (GAAP), International Financial Reporting Standards (IFRS) where applicable, and the specific tax laws enforced by the Israel Tax Authority. The overall conclusion of this</w:t>
      </w:r>
      <w:r>
        <w:t xml:space="preserve"> </w:t>
      </w:r>
      <w:r>
        <w:rPr>
          <w:bCs/>
          <w:b/>
        </w:rPr>
        <w:t xml:space="preserve">Peer Review Report</w:t>
      </w:r>
      <w:r>
        <w:t xml:space="preserve"> </w:t>
      </w:r>
      <w:r>
        <w:t xml:space="preserve">is that the practice operates with a high degree of professionalism, though specific areas regarding documentation and client acceptance procedures require minor enhancements to fully align with best practices in the competitive market of</w:t>
      </w:r>
      <w:r>
        <w:t xml:space="preserve"> </w:t>
      </w:r>
      <w:r>
        <w:rPr>
          <w:bCs/>
          <w:b/>
        </w:rPr>
        <w:t xml:space="preserve">Israel Jerusalem</w:t>
      </w:r>
      <w:r>
        <w:t xml:space="preserve">.</w:t>
      </w:r>
    </w:p>
    <w:bookmarkEnd w:id="21"/>
    <w:bookmarkStart w:id="22"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encompassed a detailed examination of the firm’s quality control policies, specifically focusing on leadership responsibilities, ethical requirements, acceptance and continuance of client relationships, human resources, engagement performance, and monitoring. The review team, consisting of two senior auditors from the ICPAI’s peer review committee, conducted on-site inspections at the</w:t>
      </w:r>
      <w:r>
        <w:t xml:space="preserve"> </w:t>
      </w:r>
      <w:r>
        <w:rPr>
          <w:bCs/>
          <w:b/>
        </w:rPr>
        <w:t xml:space="preserve">Accountant</w:t>
      </w:r>
      <w:r>
        <w:t xml:space="preserve">'s office in Jerusalem.</w:t>
      </w:r>
    </w:p>
    <w:p>
      <w:pPr>
        <w:pStyle w:val="BodyText"/>
      </w:pPr>
      <w:r>
        <w:t xml:space="preserve">The methodology involved a risk-based approach. Given the diverse economic landscape of</w:t>
      </w:r>
      <w:r>
        <w:t xml:space="preserve"> </w:t>
      </w:r>
      <w:r>
        <w:rPr>
          <w:bCs/>
          <w:b/>
        </w:rPr>
        <w:t xml:space="preserve">Israel Jerusalem</w:t>
      </w:r>
      <w:r>
        <w:t xml:space="preserve">, which includes a mix of traditional commerce, high-tech startups, and religious institutions, the review team selected engagement files that reflected this diversity. The</w:t>
      </w:r>
      <w:r>
        <w:t xml:space="preserve"> </w:t>
      </w:r>
      <w:r>
        <w:rPr>
          <w:bCs/>
          <w:b/>
        </w:rPr>
        <w:t xml:space="preserve">Accountant</w:t>
      </w:r>
      <w:r>
        <w:t xml:space="preserve"> </w:t>
      </w:r>
      <w:r>
        <w:t xml:space="preserve">was required to demonstrate how they applied professional skepticism and maintained independence in accordance with the Code of Ethics for Public Accountants in Israel. The review period covered engagements concluded between January 1, 2023, and September 30, 2023.</w:t>
      </w:r>
    </w:p>
    <w:bookmarkEnd w:id="22"/>
    <w:bookmarkStart w:id="26" w:name="detailed-findings"/>
    <w:p>
      <w:pPr>
        <w:pStyle w:val="Heading2"/>
      </w:pPr>
      <w:r>
        <w:t xml:space="preserve">3. Detailed Findings</w:t>
      </w:r>
    </w:p>
    <w:bookmarkStart w:id="23" w:name="ethical-requirements-and-independence"/>
    <w:p>
      <w:pPr>
        <w:pStyle w:val="Heading3"/>
      </w:pPr>
      <w:r>
        <w:t xml:space="preserve">3.1 Ethical Requirements and Independence</w:t>
      </w:r>
    </w:p>
    <w:p>
      <w:pPr>
        <w:pStyle w:val="FirstParagraph"/>
      </w:pPr>
      <w:r>
        <w:t xml:space="preserve">The review found that the</w:t>
      </w:r>
      <w:r>
        <w:t xml:space="preserve"> </w:t>
      </w:r>
      <w:r>
        <w:rPr>
          <w:bCs/>
          <w:b/>
        </w:rPr>
        <w:t xml:space="preserve">Accountant</w:t>
      </w:r>
      <w:r>
        <w:t xml:space="preserve"> </w:t>
      </w:r>
      <w:r>
        <w:t xml:space="preserve">maintains a robust framework for ensuring independence and ethical conduct. In the context of</w:t>
      </w:r>
      <w:r>
        <w:t xml:space="preserve"> </w:t>
      </w:r>
      <w:r>
        <w:rPr>
          <w:bCs/>
          <w:b/>
        </w:rPr>
        <w:t xml:space="preserve">Israel Jerusalem</w:t>
      </w:r>
      <w:r>
        <w:t xml:space="preserve">, where business networks can be tight-knit, the firm has implemented strict conflict-of-interest checks. The</w:t>
      </w:r>
      <w:r>
        <w:t xml:space="preserve"> </w:t>
      </w:r>
      <w:r>
        <w:rPr>
          <w:bCs/>
          <w:b/>
        </w:rPr>
        <w:t xml:space="preserve">Accountant</w:t>
      </w:r>
      <w:r>
        <w:t xml:space="preserve"> </w:t>
      </w:r>
      <w:r>
        <w:t xml:space="preserve">successfully demonstrated that all partners and staff have signed annual declarations of independence. No violations of the ICPAI Code of Ethics were identified during the review of the selected files. The firm’s approach to safeguarding independence is commended as a model for other practices in the region.</w:t>
      </w:r>
    </w:p>
    <w:bookmarkEnd w:id="23"/>
    <w:bookmarkStart w:id="24" w:name="engagement-performance-and-documentation"/>
    <w:p>
      <w:pPr>
        <w:pStyle w:val="Heading3"/>
      </w:pPr>
      <w:r>
        <w:t xml:space="preserve">3.2 Engagement Performance and Documentation</w:t>
      </w:r>
    </w:p>
    <w:p>
      <w:pPr>
        <w:pStyle w:val="FirstParagraph"/>
      </w:pPr>
      <w:r>
        <w:t xml:space="preserve">A significant portion of this</w:t>
      </w:r>
      <w:r>
        <w:t xml:space="preserve"> </w:t>
      </w:r>
      <w:r>
        <w:rPr>
          <w:bCs/>
          <w:b/>
        </w:rPr>
        <w:t xml:space="preserve">Peer Review Report</w:t>
      </w:r>
      <w:r>
        <w:t xml:space="preserve"> </w:t>
      </w:r>
      <w:r>
        <w:t xml:space="preserve">focuses on the quality of work performed. The review team assessed whether the</w:t>
      </w:r>
      <w:r>
        <w:t xml:space="preserve"> </w:t>
      </w:r>
      <w:r>
        <w:rPr>
          <w:bCs/>
          <w:b/>
        </w:rPr>
        <w:t xml:space="preserve">Accountant</w:t>
      </w:r>
      <w:r>
        <w:t xml:space="preserve"> </w:t>
      </w:r>
      <w:r>
        <w:t xml:space="preserve">obtained sufficient appropriate audit evidence to support the opinions expressed. Overall, the working papers were well-organized and reflected a thorough understanding of the clients’ operations. However, the review identified a few instances where the documentation of risk assessment procedures was insufficient. Specifically, for two small-to-medium enterprises (SMEs) in the Jerusalem retail sector, the</w:t>
      </w:r>
      <w:r>
        <w:t xml:space="preserve"> </w:t>
      </w:r>
      <w:r>
        <w:rPr>
          <w:bCs/>
          <w:b/>
        </w:rPr>
        <w:t xml:space="preserve">Accountant</w:t>
      </w:r>
      <w:r>
        <w:t xml:space="preserve"> </w:t>
      </w:r>
      <w:r>
        <w:t xml:space="preserve">did not adequately document the rationale for the materiality thresholds selected. While the final financial statements were accurate, the lack of detailed documentation poses a risk in the event of a regulatory inquiry by the Israel Tax Authority or the ICPAI.</w:t>
      </w:r>
    </w:p>
    <w:p>
      <w:pPr>
        <w:pStyle w:val="BodyText"/>
      </w:pPr>
      <w:r>
        <w:t xml:space="preserve">Furthermore, the review noted that the</w:t>
      </w:r>
      <w:r>
        <w:t xml:space="preserve"> </w:t>
      </w:r>
      <w:r>
        <w:rPr>
          <w:bCs/>
          <w:b/>
        </w:rPr>
        <w:t xml:space="preserve">Accountant</w:t>
      </w:r>
      <w:r>
        <w:t xml:space="preserve"> </w:t>
      </w:r>
      <w:r>
        <w:t xml:space="preserve">effectively utilized modern accounting software compliant with Israeli tax reporting requirements (such as VAT and withholding tax filings). This technological proficiency is essential for maintaining efficiency in the fast-paced environment of</w:t>
      </w:r>
      <w:r>
        <w:t xml:space="preserve"> </w:t>
      </w:r>
      <w:r>
        <w:rPr>
          <w:bCs/>
          <w:b/>
        </w:rPr>
        <w:t xml:space="preserve">Israel Jerusalem</w:t>
      </w:r>
      <w:r>
        <w:t xml:space="preserve">.</w:t>
      </w:r>
    </w:p>
    <w:bookmarkEnd w:id="24"/>
    <w:bookmarkStart w:id="25" w:name="client-acceptance-and-continuance"/>
    <w:p>
      <w:pPr>
        <w:pStyle w:val="Heading3"/>
      </w:pPr>
      <w:r>
        <w:t xml:space="preserve">3.3 Client Acceptance and Continuance</w:t>
      </w:r>
    </w:p>
    <w:p>
      <w:pPr>
        <w:pStyle w:val="FirstParagraph"/>
      </w:pPr>
      <w:r>
        <w:t xml:space="preserve">The firm’s procedures for accepting new clients are generally sound. The</w:t>
      </w:r>
      <w:r>
        <w:t xml:space="preserve"> </w:t>
      </w:r>
      <w:r>
        <w:rPr>
          <w:bCs/>
          <w:b/>
        </w:rPr>
        <w:t xml:space="preserve">Accountant</w:t>
      </w:r>
      <w:r>
        <w:t xml:space="preserve"> </w:t>
      </w:r>
      <w:r>
        <w:t xml:space="preserve">performs due diligence to assess the integrity of prospective clients, which is crucial in the financial hub of</w:t>
      </w:r>
      <w:r>
        <w:t xml:space="preserve"> </w:t>
      </w:r>
      <w:r>
        <w:rPr>
          <w:bCs/>
          <w:b/>
        </w:rPr>
        <w:t xml:space="preserve">Israel Jerusalem</w:t>
      </w:r>
      <w:r>
        <w:t xml:space="preserve">. However, the</w:t>
      </w:r>
      <w:r>
        <w:t xml:space="preserve"> </w:t>
      </w:r>
      <w:r>
        <w:rPr>
          <w:bCs/>
          <w:b/>
        </w:rPr>
        <w:t xml:space="preserve">Peer Review Report</w:t>
      </w:r>
      <w:r>
        <w:t xml:space="preserve"> </w:t>
      </w:r>
      <w:r>
        <w:t xml:space="preserve">recommends that the firm formalize its client acceptance criteria into a written policy manual. Currently, the process relies heavily on the personal judgment of the senior</w:t>
      </w:r>
      <w:r>
        <w:t xml:space="preserve"> </w:t>
      </w:r>
      <w:r>
        <w:rPr>
          <w:bCs/>
          <w:b/>
        </w:rPr>
        <w:t xml:space="preserve">Accountant</w:t>
      </w:r>
      <w:r>
        <w:t xml:space="preserve">, which may lead to inconsistencies as the firm grows. Establishing a standardized checklist would ensure that all potential engagements are evaluated against the same risk parameters, including money laundering risks as defined by Israeli law.</w:t>
      </w:r>
    </w:p>
    <w:bookmarkEnd w:id="25"/>
    <w:bookmarkEnd w:id="26"/>
    <w:bookmarkStart w:id="27" w:name="recommendations"/>
    <w:p>
      <w:pPr>
        <w:pStyle w:val="Heading2"/>
      </w:pPr>
      <w:r>
        <w:t xml:space="preserve">4. Recommendations</w:t>
      </w:r>
    </w:p>
    <w:p>
      <w:pPr>
        <w:pStyle w:val="FirstParagraph"/>
      </w:pPr>
      <w:r>
        <w:t xml:space="preserve">Based on the findings detailed in this</w:t>
      </w:r>
      <w:r>
        <w:t xml:space="preserve"> </w:t>
      </w:r>
      <w:r>
        <w:rPr>
          <w:bCs/>
          <w:b/>
        </w:rPr>
        <w:t xml:space="preserve">Peer Review Report</w:t>
      </w:r>
      <w:r>
        <w:t xml:space="preserve">, the following recommendations are made to the</w:t>
      </w:r>
      <w:r>
        <w:t xml:space="preserve"> </w:t>
      </w:r>
      <w:r>
        <w:rPr>
          <w:bCs/>
          <w:b/>
        </w:rPr>
        <w:t xml:space="preserve">Accountant</w:t>
      </w:r>
      <w:r>
        <w:t xml:space="preserve"> </w:t>
      </w:r>
      <w:r>
        <w:t xml:space="preserve">to enhance the quality of their practice in</w:t>
      </w:r>
      <w:r>
        <w:t xml:space="preserve"> </w:t>
      </w:r>
      <w:r>
        <w:rPr>
          <w:bCs/>
          <w:b/>
        </w:rPr>
        <w:t xml:space="preserve">Israel Jerusalem</w:t>
      </w:r>
      <w:r>
        <w:t xml:space="preserve">:</w:t>
      </w:r>
    </w:p>
    <w:p>
      <w:pPr>
        <w:numPr>
          <w:ilvl w:val="0"/>
          <w:numId w:val="1001"/>
        </w:numPr>
        <w:pStyle w:val="Compact"/>
      </w:pPr>
      <w:r>
        <w:rPr>
          <w:bCs/>
          <w:b/>
        </w:rPr>
        <w:t xml:space="preserve">Enhance Documentation Standards:</w:t>
      </w:r>
      <w:r>
        <w:t xml:space="preserve"> </w:t>
      </w:r>
      <w:r>
        <w:t xml:space="preserve">The</w:t>
      </w:r>
      <w:r>
        <w:t xml:space="preserve"> </w:t>
      </w:r>
      <w:r>
        <w:rPr>
          <w:bCs/>
          <w:b/>
        </w:rPr>
        <w:t xml:space="preserve">Accountant</w:t>
      </w:r>
      <w:r>
        <w:t xml:space="preserve"> </w:t>
      </w:r>
      <w:r>
        <w:t xml:space="preserve">should ensure that all risk assessment procedures, particularly regarding materiality and significant risks, are explicitly documented in the working papers. This is vital for defensibility and quality assurance.</w:t>
      </w:r>
    </w:p>
    <w:p>
      <w:pPr>
        <w:numPr>
          <w:ilvl w:val="0"/>
          <w:numId w:val="1001"/>
        </w:numPr>
        <w:pStyle w:val="Compact"/>
      </w:pPr>
      <w:r>
        <w:rPr>
          <w:bCs/>
          <w:b/>
        </w:rPr>
        <w:t xml:space="preserve">Formalize Client Acceptance Policies:</w:t>
      </w:r>
      <w:r>
        <w:t xml:space="preserve"> </w:t>
      </w:r>
      <w:r>
        <w:t xml:space="preserve">Develop a comprehensive written policy for client acceptance and continuance that includes specific checks for anti-money laundering (AML) compliance, in line with Israeli regulations.</w:t>
      </w:r>
    </w:p>
    <w:p>
      <w:pPr>
        <w:numPr>
          <w:ilvl w:val="0"/>
          <w:numId w:val="1001"/>
        </w:numPr>
        <w:pStyle w:val="Compact"/>
      </w:pPr>
      <w:r>
        <w:rPr>
          <w:bCs/>
          <w:b/>
        </w:rPr>
        <w:t xml:space="preserve">Continuous Professional Development:</w:t>
      </w:r>
      <w:r>
        <w:t xml:space="preserve"> </w:t>
      </w:r>
      <w:r>
        <w:t xml:space="preserve">Encourage staff to participate in ongoing training regarding updates to Israeli tax law and IFRS standards, ensuring the firm remains at the forefront of the accounting profession in</w:t>
      </w:r>
      <w:r>
        <w:t xml:space="preserve"> </w:t>
      </w:r>
      <w:r>
        <w:rPr>
          <w:bCs/>
          <w:b/>
        </w:rPr>
        <w:t xml:space="preserve">Israel Jerusalem</w:t>
      </w:r>
      <w:r>
        <w:t xml:space="preserve">.</w:t>
      </w:r>
    </w:p>
    <w:p>
      <w:pPr>
        <w:numPr>
          <w:ilvl w:val="0"/>
          <w:numId w:val="1001"/>
        </w:numPr>
        <w:pStyle w:val="Compact"/>
      </w:pPr>
      <w:r>
        <w:rPr>
          <w:bCs/>
          <w:b/>
        </w:rPr>
        <w:t xml:space="preserve">Internal Monitoring:</w:t>
      </w:r>
      <w:r>
        <w:t xml:space="preserve"> </w:t>
      </w:r>
      <w:r>
        <w:t xml:space="preserve">Implement a more frequent internal monitoring cycle to review engagement files before they are archived, allowing for timely corrections of minor documentation errors.</w:t>
      </w:r>
    </w:p>
    <w:bookmarkEnd w:id="27"/>
    <w:bookmarkStart w:id="29" w:name="conclusion-and-rating"/>
    <w:p>
      <w:pPr>
        <w:pStyle w:val="Heading2"/>
      </w:pPr>
      <w:r>
        <w:t xml:space="preserve">5. Conclusion and Rating</w:t>
      </w:r>
    </w:p>
    <w:p>
      <w:pPr>
        <w:pStyle w:val="FirstParagraph"/>
      </w:pPr>
      <w:r>
        <w:t xml:space="preserve">In conclusion, this</w:t>
      </w:r>
      <w:r>
        <w:t xml:space="preserve"> </w:t>
      </w:r>
      <w:r>
        <w:rPr>
          <w:bCs/>
          <w:b/>
        </w:rPr>
        <w:t xml:space="preserve">Peer Review Report</w:t>
      </w:r>
      <w:r>
        <w:t xml:space="preserve"> </w:t>
      </w:r>
      <w:r>
        <w:t xml:space="preserve">affirms that the accounting practice of</w:t>
      </w:r>
      <w:r>
        <w:t xml:space="preserve"> </w:t>
      </w:r>
      <w:r>
        <w:rPr>
          <w:bCs/>
          <w:b/>
        </w:rPr>
        <w:t xml:space="preserve">Accountant</w:t>
      </w:r>
      <w:r>
        <w:t xml:space="preserve"> </w:t>
      </w:r>
      <w:r>
        <w:t xml:space="preserve">David Cohen, CPA, in</w:t>
      </w:r>
      <w:r>
        <w:t xml:space="preserve"> </w:t>
      </w:r>
      <w:r>
        <w:rPr>
          <w:bCs/>
          <w:b/>
        </w:rPr>
        <w:t xml:space="preserve">Israel Jerusalem</w:t>
      </w:r>
      <w:r>
        <w:t xml:space="preserve"> </w:t>
      </w:r>
      <w:r>
        <w:t xml:space="preserve">maintains a system of quality control that is largely effective and compliant with professional standards. The firm demonstrates a strong commitment to ethical behavior and technical competence. The identified deficiencies are minor and do not indicate a systemic failure in the quality control system. By implementing the recommendations outlined above, the</w:t>
      </w:r>
      <w:r>
        <w:t xml:space="preserve"> </w:t>
      </w:r>
      <w:r>
        <w:rPr>
          <w:bCs/>
          <w:b/>
        </w:rPr>
        <w:t xml:space="preserve">Accountant</w:t>
      </w:r>
      <w:r>
        <w:t xml:space="preserve"> </w:t>
      </w:r>
      <w:r>
        <w:t xml:space="preserve">will further strengthen the firm’s reputation and operational excellence within the Jerusalem market.</w:t>
      </w:r>
    </w:p>
    <w:bookmarkStart w:id="28" w:name="overall-quality-rating"/>
    <w:p>
      <w:pPr>
        <w:pStyle w:val="Heading3"/>
      </w:pPr>
      <w:r>
        <w:t xml:space="preserve">Overall Quality Rating</w:t>
      </w:r>
    </w:p>
    <w:p>
      <w:pPr>
        <w:pStyle w:val="FirstParagraph"/>
      </w:pPr>
      <w:r>
        <w:t xml:space="preserve">Ethical Compliance:</w:t>
      </w:r>
      <w:r>
        <w:t xml:space="preserve"> </w:t>
      </w:r>
      <w:r>
        <w:t xml:space="preserve">Excellent</w:t>
      </w:r>
    </w:p>
    <w:p>
      <w:pPr>
        <w:pStyle w:val="BodyText"/>
      </w:pPr>
      <w:r>
        <w:t xml:space="preserve">Technical Competence:</w:t>
      </w:r>
      <w:r>
        <w:t xml:space="preserve"> </w:t>
      </w:r>
      <w:r>
        <w:t xml:space="preserve">Good</w:t>
      </w:r>
    </w:p>
    <w:p>
      <w:pPr>
        <w:pStyle w:val="BodyText"/>
      </w:pPr>
      <w:r>
        <w:t xml:space="preserve">Documentation Quality:</w:t>
      </w:r>
      <w:r>
        <w:t xml:space="preserve"> </w:t>
      </w:r>
      <w:r>
        <w:t xml:space="preserve">Satisfactory (with noted improvements required)</w:t>
      </w:r>
    </w:p>
    <w:p>
      <w:pPr>
        <w:pStyle w:val="BodyText"/>
      </w:pPr>
      <w:r>
        <w:t xml:space="preserve">Overall Peer Review Status:</w:t>
      </w:r>
      <w:r>
        <w:t xml:space="preserve"> </w:t>
      </w:r>
      <w:r>
        <w:t xml:space="preserve">Passed with Recommendations</w:t>
      </w:r>
    </w:p>
    <w:bookmarkEnd w:id="28"/>
    <w:bookmarkEnd w:id="29"/>
    <w:p>
      <w:pPr>
        <w:pStyle w:val="BodyText"/>
      </w:pPr>
      <w:r>
        <w:rPr>
          <w:bCs/>
          <w:b/>
        </w:rPr>
        <w:t xml:space="preserve">Reviewed by:</w:t>
      </w:r>
    </w:p>
    <w:p>
      <w:pPr>
        <w:pStyle w:val="BodyText"/>
      </w:pPr>
      <w:r>
        <w:t xml:space="preserve">Prof. Sarah Levi, CPA</w:t>
      </w:r>
    </w:p>
    <w:p>
      <w:pPr>
        <w:pStyle w:val="BodyText"/>
      </w:pPr>
      <w:r>
        <w:t xml:space="preserve">Senior Peer Reviewer, ICPAI</w:t>
      </w:r>
    </w:p>
    <w:p>
      <w:pPr>
        <w:pStyle w:val="BodyText"/>
      </w:pPr>
      <w:r>
        <w:t xml:space="preserve">Jerusalem District Committee</w:t>
      </w:r>
    </w:p>
    <w:p>
      <w:pPr>
        <w:pStyle w:val="BodyText"/>
      </w:pPr>
      <w:r>
        <w:rPr>
          <w:bCs/>
          <w:b/>
        </w:rPr>
        <w:t xml:space="preserve">Reviewed by:</w:t>
      </w:r>
    </w:p>
    <w:p>
      <w:pPr>
        <w:pStyle w:val="BodyText"/>
      </w:pPr>
      <w:r>
        <w:t xml:space="preserve">Mr. Yossi Goldstein, CPA</w:t>
      </w:r>
    </w:p>
    <w:p>
      <w:pPr>
        <w:pStyle w:val="BodyText"/>
      </w:pPr>
      <w:r>
        <w:t xml:space="preserve">Peer Review Committee Member</w:t>
      </w:r>
    </w:p>
    <w:p>
      <w:pPr>
        <w:pStyle w:val="BodyText"/>
      </w:pPr>
      <w:r>
        <w:t xml:space="preserve">Institute of Certified Public Accountants of Israel</w:t>
      </w:r>
    </w:p>
    <w:p>
      <w:pPr>
        <w:pStyle w:val="BodyText"/>
      </w:pPr>
      <w:r>
        <w:t xml:space="preserve">This</w:t>
      </w:r>
      <w:r>
        <w:t xml:space="preserve"> </w:t>
      </w:r>
      <w:r>
        <w:rPr>
          <w:bCs/>
          <w:b/>
        </w:rPr>
        <w:t xml:space="preserve">Peer Review Report</w:t>
      </w:r>
      <w:r>
        <w:t xml:space="preserve"> </w:t>
      </w:r>
      <w:r>
        <w:t xml:space="preserve">is confidential and intended solely for the use of the</w:t>
      </w:r>
      <w:r>
        <w:t xml:space="preserve"> </w:t>
      </w:r>
      <w:r>
        <w:rPr>
          <w:bCs/>
          <w:b/>
        </w:rPr>
        <w:t xml:space="preserve">Accountant</w:t>
      </w:r>
      <w:r>
        <w:t xml:space="preserve"> </w:t>
      </w:r>
      <w:r>
        <w:t xml:space="preserve">and the Institute of Certified Public Accountants of Israel. Unauthorized distribution is prohibited. This document pertains specifically to the regulatory environment of</w:t>
      </w:r>
      <w:r>
        <w:t xml:space="preserve"> </w:t>
      </w:r>
      <w:r>
        <w:rPr>
          <w:bCs/>
          <w:b/>
        </w:rPr>
        <w:t xml:space="preserve">Israel Jerusalem</w:t>
      </w:r>
      <w:r>
        <w:t xml:space="preserve"> </w:t>
      </w:r>
      <w:r>
        <w:t xml:space="preserve">as of the date of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Accounting Practice in Israel Jerusalem</dc:title>
  <dc:creator/>
  <dc:language>en</dc:language>
  <cp:keywords/>
  <dcterms:created xsi:type="dcterms:W3CDTF">2026-10-10T04:25:53Z</dcterms:created>
  <dcterms:modified xsi:type="dcterms:W3CDTF">2026-10-10T04:25:53Z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