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Accounting</w:t>
      </w:r>
      <w:r>
        <w:t xml:space="preserve"> </w:t>
      </w:r>
      <w:r>
        <w:t xml:space="preserve">Practices</w:t>
      </w:r>
      <w:r>
        <w:t xml:space="preserve"> </w:t>
      </w:r>
      <w:r>
        <w:t xml:space="preserve">in</w:t>
      </w:r>
      <w:r>
        <w:t xml:space="preserve"> </w:t>
      </w:r>
      <w:r>
        <w:t xml:space="preserve">Israel</w:t>
      </w:r>
      <w:r>
        <w:t xml:space="preserve"> </w:t>
      </w:r>
      <w:r>
        <w:t xml:space="preserve">Tel</w:t>
      </w:r>
      <w:r>
        <w:t xml:space="preserve"> </w:t>
      </w:r>
      <w:r>
        <w:t xml:space="preserve">Aviv</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Accounting Services and Compliance</w:t>
      </w:r>
    </w:p>
    <w:p>
      <w:pPr>
        <w:pStyle w:val="BodyText"/>
      </w:pPr>
      <w:r>
        <w:rPr>
          <w:bCs/>
          <w:b/>
        </w:rPr>
        <w:t xml:space="preserve">Location:</w:t>
      </w:r>
      <w:r>
        <w:t xml:space="preserve"> </w:t>
      </w:r>
      <w:r>
        <w:t xml:space="preserve">Israel Tel Aviv</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Audit Partner, Independent Review Board</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standards, technical competence, and regulatory compliance of the Accountant under review. The scope of this examination is specifically tailored to the dynamic financial environment of Israel Tel Aviv, a global hub for technology, finance, and innovation. The review assesses whether the Accountant adheres to the International Financial Reporting Standards (IFRS) as adopted by the Israeli Institute of Chartered Accountants (IIA), as well as local tax laws enforced by the Israel Tax Authority.</w:t>
      </w:r>
    </w:p>
    <w:p>
      <w:pPr>
        <w:pStyle w:val="BodyText"/>
      </w:pPr>
      <w:r>
        <w:t xml:space="preserve">The findings indicate a generally high level of proficiency in financial reporting. However, specific areas regarding the application of complex tax regulations unique to the Tel Aviv metropolitan area and the handling of foreign currency transactions require attention. This document outlines the methodology, findings, and recommendations to ensure the Accountant maintains the highest level of integrity and service quality expected in the Israeli market.</w:t>
      </w:r>
    </w:p>
    <w:bookmarkEnd w:id="21"/>
    <w:bookmarkStart w:id="22" w:name="introduction-and-scope"/>
    <w:p>
      <w:pPr>
        <w:pStyle w:val="Heading2"/>
      </w:pPr>
      <w:r>
        <w:t xml:space="preserve">2. Introduction and Scope</w:t>
      </w:r>
    </w:p>
    <w:p>
      <w:pPr>
        <w:pStyle w:val="FirstParagraph"/>
      </w:pPr>
      <w:r>
        <w:t xml:space="preserve">The role of an Accountant in Israel Tel Aviv is multifaceted, requiring not only technical accounting knowledge but also a deep understanding of the local business ecosystem. This Peer Review Report focuses on three primary areas: financial statement preparation, tax compliance, and internal control systems. The review covers a sample of engagements conducted by the Accountant over the past fiscal year.</w:t>
      </w:r>
    </w:p>
    <w:p>
      <w:pPr>
        <w:pStyle w:val="BodyText"/>
      </w:pPr>
      <w:r>
        <w:t xml:space="preserve">Given the strategic importance of Tel Aviv as a center for startups and multinational corporations, the Accountant is frequently tasked with managing cross-border transactions, R&amp;D tax credits, and compliance with the Companies Law, 5759-1999. This report evaluates how effectively the Accountant navigates these complexities. The review was conducted in accordance with the standards set by the IIA and relevant international auditing standards.</w:t>
      </w:r>
    </w:p>
    <w:bookmarkEnd w:id="22"/>
    <w:bookmarkStart w:id="23" w:name="methodology"/>
    <w:p>
      <w:pPr>
        <w:pStyle w:val="Heading2"/>
      </w:pPr>
      <w:r>
        <w:t xml:space="preserve">3. Methodology</w:t>
      </w:r>
    </w:p>
    <w:p>
      <w:pPr>
        <w:pStyle w:val="FirstParagraph"/>
      </w:pPr>
      <w:r>
        <w:t xml:space="preserve">The Peer Review Report was generated through a comprehensive analysis of selected client files. The methodology included:</w:t>
      </w:r>
    </w:p>
    <w:p>
      <w:pPr>
        <w:numPr>
          <w:ilvl w:val="0"/>
          <w:numId w:val="1001"/>
        </w:numPr>
        <w:pStyle w:val="Compact"/>
      </w:pPr>
      <w:r>
        <w:t xml:space="preserve">Review of financial statements for accuracy and adherence to IFRS.</w:t>
      </w:r>
    </w:p>
    <w:p>
      <w:pPr>
        <w:numPr>
          <w:ilvl w:val="0"/>
          <w:numId w:val="1001"/>
        </w:numPr>
        <w:pStyle w:val="Compact"/>
      </w:pPr>
      <w:r>
        <w:t xml:space="preserve">Verification of tax filings submitted to the Israel Tax Authority, including Value Added Tax (VAT) and corporate income tax.</w:t>
      </w:r>
    </w:p>
    <w:p>
      <w:pPr>
        <w:numPr>
          <w:ilvl w:val="0"/>
          <w:numId w:val="1001"/>
        </w:numPr>
        <w:pStyle w:val="Compact"/>
      </w:pPr>
      <w:r>
        <w:t xml:space="preserve">Assessment of the Accountant's documentation practices and internal quality control procedures.</w:t>
      </w:r>
    </w:p>
    <w:p>
      <w:pPr>
        <w:numPr>
          <w:ilvl w:val="0"/>
          <w:numId w:val="1001"/>
        </w:numPr>
        <w:pStyle w:val="Compact"/>
      </w:pPr>
      <w:r>
        <w:t xml:space="preserve">Interviews with the Accountant regarding their approach to ethical dilemmas and professional skepticism.</w:t>
      </w:r>
    </w:p>
    <w:p>
      <w:pPr>
        <w:pStyle w:val="FirstParagraph"/>
      </w:pPr>
      <w:r>
        <w:t xml:space="preserve">Special attention was paid to the Accountant's ability to interpret recent legislative changes in Israel, particularly those affecting the tech sector in Tel Aviv.</w:t>
      </w:r>
    </w:p>
    <w:bookmarkEnd w:id="23"/>
    <w:bookmarkStart w:id="27" w:name="detailed-findings"/>
    <w:p>
      <w:pPr>
        <w:pStyle w:val="Heading2"/>
      </w:pPr>
      <w:r>
        <w:t xml:space="preserve">4. Detailed Findings</w:t>
      </w:r>
    </w:p>
    <w:bookmarkStart w:id="24" w:name="financial-reporting-and-ifrs-compliance"/>
    <w:p>
      <w:pPr>
        <w:pStyle w:val="Heading3"/>
      </w:pPr>
      <w:r>
        <w:t xml:space="preserve">4.1 Financial Reporting and IFRS Compliance</w:t>
      </w:r>
    </w:p>
    <w:p>
      <w:pPr>
        <w:pStyle w:val="FirstParagraph"/>
      </w:pPr>
      <w:r>
        <w:t xml:space="preserve">The Accountant demonstrates a strong command of IFRS principles. Financial statements reviewed were presented fairly and in accordance with the requirements of the Israeli Companies Law. The notes to the financial statements were comprehensive, providing clear disclosures regarding significant accounting policies. However, in one instance involving a startup client in Tel Aviv, the valuation of intangible assets required more robust documentation to support the fair value measurements.</w:t>
      </w:r>
    </w:p>
    <w:bookmarkEnd w:id="24"/>
    <w:bookmarkStart w:id="25" w:name="tax-compliance-and-local-regulations"/>
    <w:p>
      <w:pPr>
        <w:pStyle w:val="Heading3"/>
      </w:pPr>
      <w:r>
        <w:t xml:space="preserve">4.2 Tax Compliance and Local Regulations</w:t>
      </w:r>
    </w:p>
    <w:p>
      <w:pPr>
        <w:pStyle w:val="FirstParagraph"/>
      </w:pPr>
      <w:r>
        <w:t xml:space="preserve">Tax compliance is a critical component of the Accountant's role in Israel Tel Aviv. The review found that the Accountant is diligent in filing VAT returns and corporate tax forms on time. The Accountant showed good knowledge of the preferential tax regimes available to approved enterprises in Israel. Nevertheless, the Peer Review Report identified a need for enhanced scrutiny regarding transfer pricing documentation for multinational clients. Given the high volume of cross-border transactions in Tel Aviv, ensuring compliance with OECD guidelines and Israeli transfer pricing regulations is paramount.</w:t>
      </w:r>
    </w:p>
    <w:bookmarkEnd w:id="25"/>
    <w:bookmarkStart w:id="26" w:name="internal-controls-and-risk-management"/>
    <w:p>
      <w:pPr>
        <w:pStyle w:val="Heading3"/>
      </w:pPr>
      <w:r>
        <w:t xml:space="preserve">4.3 Internal Controls and Risk Management</w:t>
      </w:r>
    </w:p>
    <w:p>
      <w:pPr>
        <w:pStyle w:val="FirstParagraph"/>
      </w:pPr>
      <w:r>
        <w:t xml:space="preserve">The Accountant has implemented adequate internal controls to safeguard client assets and ensure data integrity. The use of modern accounting software common in the Tel Aviv business community was observed. However, the review noted that the Accountant could benefit from more formalized risk assessment procedures, particularly when dealing with high-growth technology firms that may have less mature internal control environments.</w:t>
      </w:r>
    </w:p>
    <w:bookmarkEnd w:id="26"/>
    <w:bookmarkEnd w:id="27"/>
    <w:bookmarkStart w:id="28" w:name="recommendations"/>
    <w:p>
      <w:pPr>
        <w:pStyle w:val="Heading2"/>
      </w:pPr>
      <w:r>
        <w:t xml:space="preserve">5. Recommendations</w:t>
      </w:r>
    </w:p>
    <w:p>
      <w:pPr>
        <w:pStyle w:val="FirstParagraph"/>
      </w:pPr>
      <w:r>
        <w:t xml:space="preserve">Based on the findings of this Peer Review Report, the following recommendations are made to enhance the Accountant's practice:</w:t>
      </w:r>
    </w:p>
    <w:p>
      <w:pPr>
        <w:numPr>
          <w:ilvl w:val="0"/>
          <w:numId w:val="1002"/>
        </w:numPr>
        <w:pStyle w:val="Compact"/>
      </w:pPr>
      <w:r>
        <w:rPr>
          <w:bCs/>
          <w:b/>
        </w:rPr>
        <w:t xml:space="preserve">Enhance Transfer Pricing Documentation:</w:t>
      </w:r>
      <w:r>
        <w:t xml:space="preserve"> </w:t>
      </w:r>
      <w:r>
        <w:t xml:space="preserve">The Accountant should develop more detailed transfer pricing policies for clients with international operations, ensuring alignment with both Israeli law and global standards.</w:t>
      </w:r>
    </w:p>
    <w:p>
      <w:pPr>
        <w:numPr>
          <w:ilvl w:val="0"/>
          <w:numId w:val="1002"/>
        </w:numPr>
        <w:pStyle w:val="Compact"/>
      </w:pPr>
      <w:r>
        <w:rPr>
          <w:bCs/>
          <w:b/>
        </w:rPr>
        <w:t xml:space="preserve">Strengthen Valuation Methodologies:</w:t>
      </w:r>
      <w:r>
        <w:t xml:space="preserve"> </w:t>
      </w:r>
      <w:r>
        <w:t xml:space="preserve">For clients in the Tel Aviv tech sector, the Accountant should adopt more rigorous valuation techniques for intangible assets and ensure all assumptions are well-documented.</w:t>
      </w:r>
    </w:p>
    <w:p>
      <w:pPr>
        <w:numPr>
          <w:ilvl w:val="0"/>
          <w:numId w:val="1002"/>
        </w:numPr>
        <w:pStyle w:val="Compact"/>
      </w:pPr>
      <w:r>
        <w:rPr>
          <w:bCs/>
          <w:b/>
        </w:rPr>
        <w:t xml:space="preserve">Continuous Professional Development:</w:t>
      </w:r>
      <w:r>
        <w:t xml:space="preserve"> </w:t>
      </w:r>
      <w:r>
        <w:t xml:space="preserve">Given the rapid changes in Israeli tax law and financial regulations, the Accountant should engage in ongoing training to stay updated on legislative developments.</w:t>
      </w:r>
    </w:p>
    <w:p>
      <w:pPr>
        <w:numPr>
          <w:ilvl w:val="0"/>
          <w:numId w:val="1002"/>
        </w:numPr>
        <w:pStyle w:val="Compact"/>
      </w:pPr>
      <w:r>
        <w:rPr>
          <w:bCs/>
          <w:b/>
        </w:rPr>
        <w:t xml:space="preserve">Formalize Risk Assessments:</w:t>
      </w:r>
      <w:r>
        <w:t xml:space="preserve"> </w:t>
      </w:r>
      <w:r>
        <w:t xml:space="preserve">Implement a structured approach to assessing client risks, particularly for startups and high-growth companies.</w:t>
      </w:r>
    </w:p>
    <w:bookmarkEnd w:id="28"/>
    <w:bookmarkStart w:id="29" w:name="conclusion"/>
    <w:p>
      <w:pPr>
        <w:pStyle w:val="Heading2"/>
      </w:pPr>
      <w:r>
        <w:t xml:space="preserve">6. Conclusion</w:t>
      </w:r>
    </w:p>
    <w:p>
      <w:pPr>
        <w:pStyle w:val="FirstParagraph"/>
      </w:pPr>
      <w:r>
        <w:t xml:space="preserve">This Peer Review Report concludes that the Accountant operates at a professional level consistent with the expectations of the Israeli Institute of Chartered Accountants. The Accountant's services are vital to the economic vitality of Israel Tel Aviv, supporting businesses in navigating complex financial landscapes. By addressing the recommendations outlined in this report, the Accountant will further strengthen their practice and continue to provide high-quality services to clients in this competitive market.</w:t>
      </w:r>
    </w:p>
    <w:p>
      <w:pPr>
        <w:pStyle w:val="BodyText"/>
      </w:pPr>
      <w:r>
        <w:t xml:space="preserve">The overall rating for the Accountant's performance is "Satisfactory with Recommendations." The Accountant is encouraged to implement the suggested improvements within the next twelve months.</w:t>
      </w:r>
    </w:p>
    <w:bookmarkEnd w:id="29"/>
    <w:p>
      <w:pPr>
        <w:pStyle w:val="BodyText"/>
      </w:pPr>
      <w:r>
        <w:rPr>
          <w:bCs/>
          <w:b/>
        </w:rPr>
        <w:t xml:space="preserve">Reviewed by:</w:t>
      </w:r>
      <w:r>
        <w:br/>
      </w:r>
      <w:r>
        <w:t xml:space="preserve">__________________________</w:t>
      </w:r>
      <w:r>
        <w:br/>
      </w:r>
      <w:r>
        <w:t xml:space="preserve">Senior Audit Partner</w:t>
      </w:r>
      <w:r>
        <w:br/>
      </w:r>
      <w:r>
        <w:t xml:space="preserve">Independent Review Board</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Accounting Practices in Israel Tel Aviv</dc:title>
  <dc:creator/>
  <dc:language>en</dc:language>
  <cp:keywords/>
  <dcterms:created xsi:type="dcterms:W3CDTF">2026-10-10T02:03:08Z</dcterms:created>
  <dcterms:modified xsi:type="dcterms:W3CDTF">2026-10-10T02:03:08Z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