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Professional Competency Assessment: Accountant</w:t>
      </w:r>
    </w:p>
    <w:p>
      <w:pPr>
        <w:pStyle w:val="BodyText"/>
      </w:pPr>
      <w:r>
        <w:t xml:space="preserve">Location:</w:t>
      </w:r>
      <w:r>
        <w:t xml:space="preserve"> </w:t>
      </w:r>
      <w:r>
        <w:t xml:space="preserve">Italy Milan</w:t>
      </w:r>
    </w:p>
    <w:p>
      <w:pPr>
        <w:pStyle w:val="BodyText"/>
      </w:pPr>
      <w:r>
        <w:t xml:space="preserve">Date:</w:t>
      </w:r>
      <w:r>
        <w:t xml:space="preserve"> </w:t>
      </w:r>
      <w:r>
        <w:t xml:space="preserve">October 24, 2023</w:t>
      </w:r>
    </w:p>
    <w:p>
      <w:pPr>
        <w:pStyle w:val="BodyText"/>
      </w:pPr>
      <w:r>
        <w:t xml:space="preserve">Review ID:</w:t>
      </w:r>
      <w:r>
        <w:t xml:space="preserve"> </w:t>
      </w:r>
      <w:r>
        <w:t xml:space="preserve">IT-MIL-ACC-2023-089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expertise, and ethical compliance of a senior</w:t>
      </w:r>
      <w:r>
        <w:t xml:space="preserve"> </w:t>
      </w:r>
      <w:r>
        <w:rPr>
          <w:bCs/>
          <w:b/>
        </w:rPr>
        <w:t xml:space="preserve">Accountant</w:t>
      </w:r>
      <w:r>
        <w:t xml:space="preserve"> </w:t>
      </w:r>
      <w:r>
        <w:t xml:space="preserve">operating within the financial district of</w:t>
      </w:r>
      <w:r>
        <w:t xml:space="preserve"> </w:t>
      </w:r>
      <w:r>
        <w:rPr>
          <w:bCs/>
          <w:b/>
        </w:rPr>
        <w:t xml:space="preserve">Italy Milan</w:t>
      </w:r>
      <w:r>
        <w:t xml:space="preserve">. As Milan serves as the primary financial hub of Italy, hosting the Borsa Italiana and numerous multinational headquarters, the standards for accounting professionals are exceptionally rigorous. This review assesses the subject’s ability to navigate the complex intersection of Italian civil law, local fiscal regulations, and international financial reporting standards (IFRS) prevalent in the Milanese corporate environment.</w:t>
      </w:r>
    </w:p>
    <w:p>
      <w:pPr>
        <w:pStyle w:val="BodyText"/>
      </w:pPr>
      <w:r>
        <w:t xml:space="preserve">The evaluation process involved a comprehensive analysis of audit files, tax compliance records, and stakeholder interviews conducted over a six-month period. The objective was to determine if the</w:t>
      </w:r>
      <w:r>
        <w:t xml:space="preserve"> </w:t>
      </w:r>
      <w:r>
        <w:rPr>
          <w:bCs/>
          <w:b/>
        </w:rPr>
        <w:t xml:space="preserve">Accountant</w:t>
      </w:r>
      <w:r>
        <w:t xml:space="preserve"> </w:t>
      </w:r>
      <w:r>
        <w:t xml:space="preserve">maintains the high level of precision and integrity required by the Consiglio Nazionale dei Dottori Commercialisti e degli Esperti Contabili (CNDC) and to ensure alignment with the specific economic dynamics of</w:t>
      </w:r>
      <w:r>
        <w:t xml:space="preserve"> </w:t>
      </w:r>
      <w:r>
        <w:rPr>
          <w:bCs/>
          <w:b/>
        </w:rPr>
        <w:t xml:space="preserve">Italy Milan</w:t>
      </w:r>
      <w:r>
        <w:t xml:space="preserve">.</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an</w:t>
      </w:r>
      <w:r>
        <w:t xml:space="preserve"> </w:t>
      </w:r>
      <w:r>
        <w:rPr>
          <w:bCs/>
          <w:b/>
        </w:rPr>
        <w:t xml:space="preserve">Accountant</w:t>
      </w:r>
      <w:r>
        <w:t xml:space="preserve"> </w:t>
      </w:r>
      <w:r>
        <w:t xml:space="preserve">in</w:t>
      </w:r>
      <w:r>
        <w:t xml:space="preserve"> </w:t>
      </w:r>
      <w:r>
        <w:rPr>
          <w:bCs/>
          <w:b/>
        </w:rPr>
        <w:t xml:space="preserve">Italy Milan</w:t>
      </w:r>
      <w:r>
        <w:t xml:space="preserve">:</w:t>
      </w:r>
    </w:p>
    <w:p>
      <w:pPr>
        <w:numPr>
          <w:ilvl w:val="0"/>
          <w:numId w:val="1001"/>
        </w:numPr>
        <w:pStyle w:val="Compact"/>
      </w:pPr>
      <w:r>
        <w:rPr>
          <w:bCs/>
          <w:b/>
        </w:rPr>
        <w:t xml:space="preserve">Regulatory Compliance:</w:t>
      </w:r>
      <w:r>
        <w:t xml:space="preserve"> </w:t>
      </w:r>
      <w:r>
        <w:t xml:space="preserve">Adherence to the Italian Civil Code (Codice Civile) and local tax laws enforced by the Agenzia delle Entrate.</w:t>
      </w:r>
    </w:p>
    <w:p>
      <w:pPr>
        <w:numPr>
          <w:ilvl w:val="0"/>
          <w:numId w:val="1001"/>
        </w:numPr>
        <w:pStyle w:val="Compact"/>
      </w:pPr>
      <w:r>
        <w:rPr>
          <w:bCs/>
          <w:b/>
        </w:rPr>
        <w:t xml:space="preserve">Financial Reporting:</w:t>
      </w:r>
      <w:r>
        <w:t xml:space="preserve"> </w:t>
      </w:r>
      <w:r>
        <w:t xml:space="preserve">Accuracy in preparing financial statements for both local SMEs and multinational entities based in Milan.</w:t>
      </w:r>
    </w:p>
    <w:p>
      <w:pPr>
        <w:numPr>
          <w:ilvl w:val="0"/>
          <w:numId w:val="1001"/>
        </w:numPr>
        <w:pStyle w:val="Compact"/>
      </w:pPr>
      <w:r>
        <w:rPr>
          <w:bCs/>
          <w:b/>
        </w:rPr>
        <w:t xml:space="preserve">Taxation Strategy:</w:t>
      </w:r>
      <w:r>
        <w:t xml:space="preserve"> </w:t>
      </w:r>
      <w:r>
        <w:t xml:space="preserve">Management of corporate taxes (IRES), regional taxes (IRAP), and VAT (IVA) within the Lombardy region.</w:t>
      </w:r>
    </w:p>
    <w:p>
      <w:pPr>
        <w:numPr>
          <w:ilvl w:val="0"/>
          <w:numId w:val="1001"/>
        </w:numPr>
        <w:pStyle w:val="Compact"/>
      </w:pPr>
      <w:r>
        <w:rPr>
          <w:bCs/>
          <w:b/>
        </w:rPr>
        <w:t xml:space="preserve">Professional Ethics:</w:t>
      </w:r>
      <w:r>
        <w:t xml:space="preserve"> </w:t>
      </w:r>
      <w:r>
        <w:t xml:space="preserve">Compliance with the code of conduct for accountants in Italy.</w:t>
      </w:r>
    </w:p>
    <w:p>
      <w:pPr>
        <w:numPr>
          <w:ilvl w:val="0"/>
          <w:numId w:val="1001"/>
        </w:numPr>
        <w:pStyle w:val="Compact"/>
      </w:pPr>
      <w:r>
        <w:rPr>
          <w:bCs/>
          <w:b/>
        </w:rPr>
        <w:t xml:space="preserve">Technological Adaptation:</w:t>
      </w:r>
      <w:r>
        <w:t xml:space="preserve"> </w:t>
      </w:r>
      <w:r>
        <w:t xml:space="preserve">Utilization of digital invoicing systems (Fattura Elettronica) mandated by the Italian government.</w:t>
      </w:r>
    </w:p>
    <w:bookmarkEnd w:id="22"/>
    <w:bookmarkStart w:id="27" w:name="detailed-assessment"/>
    <w:p>
      <w:pPr>
        <w:pStyle w:val="Heading2"/>
      </w:pPr>
      <w:r>
        <w:t xml:space="preserve">3. Detailed Assessment</w:t>
      </w:r>
    </w:p>
    <w:bookmarkStart w:id="23" w:name="Xf8e6d49d1e145fb7f08f3dfff61e886f5810881"/>
    <w:p>
      <w:pPr>
        <w:pStyle w:val="Heading3"/>
      </w:pPr>
      <w:r>
        <w:t xml:space="preserve">3.1 Technical Proficiency and Local Knowledge</w:t>
      </w:r>
    </w:p>
    <w:p>
      <w:pPr>
        <w:pStyle w:val="FirstParagraph"/>
      </w:pPr>
      <w:r>
        <w:t xml:space="preserve">The</w:t>
      </w:r>
      <w:r>
        <w:t xml:space="preserve"> </w:t>
      </w:r>
      <w:r>
        <w:rPr>
          <w:bCs/>
          <w:b/>
        </w:rPr>
        <w:t xml:space="preserve">Accountant</w:t>
      </w:r>
      <w:r>
        <w:t xml:space="preserve"> </w:t>
      </w:r>
      <w:r>
        <w:t xml:space="preserve">demonstrated a robust understanding of the specific fiscal landscape in</w:t>
      </w:r>
      <w:r>
        <w:t xml:space="preserve"> </w:t>
      </w:r>
      <w:r>
        <w:rPr>
          <w:bCs/>
          <w:b/>
        </w:rPr>
        <w:t xml:space="preserve">Italy Milan</w:t>
      </w:r>
      <w:r>
        <w:t xml:space="preserve">. The review highlighted exceptional competence in handling the "Regime Forfettario" for smaller clients while simultaneously managing complex consolidated financial statements for larger firms. The subject showed a nuanced understanding of how Milan-specific economic incentives and Lombardy regional tax deductions impact corporate bottom lines.</w:t>
      </w:r>
    </w:p>
    <w:p>
      <w:pPr>
        <w:pStyle w:val="BodyText"/>
      </w:pPr>
      <w:r>
        <w:t xml:space="preserve">Furthermore, the</w:t>
      </w:r>
      <w:r>
        <w:t xml:space="preserve"> </w:t>
      </w:r>
      <w:r>
        <w:rPr>
          <w:bCs/>
          <w:b/>
        </w:rPr>
        <w:t xml:space="preserve">Accountant</w:t>
      </w:r>
      <w:r>
        <w:t xml:space="preserve"> </w:t>
      </w:r>
      <w:r>
        <w:t xml:space="preserve">exhibited strong proficiency in IFRS, which is critical given the high concentration of listed companies on the Milan Stock Exchange. The ability to seamlessly switch between Italian GAAP (OIC standards) and IFRS depending on the client's structure was noted as a significant strength.</w:t>
      </w:r>
    </w:p>
    <w:bookmarkEnd w:id="23"/>
    <w:bookmarkStart w:id="24" w:name="compliance-with-italian-digital-mandates"/>
    <w:p>
      <w:pPr>
        <w:pStyle w:val="Heading3"/>
      </w:pPr>
      <w:r>
        <w:t xml:space="preserve">3.2 Compliance with Italian Digital Mandates</w:t>
      </w:r>
    </w:p>
    <w:p>
      <w:pPr>
        <w:pStyle w:val="FirstParagraph"/>
      </w:pPr>
      <w:r>
        <w:t xml:space="preserve">A critical aspect of modern accounting in</w:t>
      </w:r>
      <w:r>
        <w:t xml:space="preserve"> </w:t>
      </w:r>
      <w:r>
        <w:rPr>
          <w:bCs/>
          <w:b/>
        </w:rPr>
        <w:t xml:space="preserve">Italy Milan</w:t>
      </w:r>
      <w:r>
        <w:t xml:space="preserve"> </w:t>
      </w:r>
      <w:r>
        <w:t xml:space="preserve">is the strict adherence to digitalization mandates. This</w:t>
      </w:r>
      <w:r>
        <w:t xml:space="preserve"> </w:t>
      </w:r>
      <w:r>
        <w:rPr>
          <w:bCs/>
          <w:b/>
        </w:rPr>
        <w:t xml:space="preserve">Peer Review Report</w:t>
      </w:r>
      <w:r>
        <w:t xml:space="preserve"> </w:t>
      </w:r>
      <w:r>
        <w:t xml:space="preserve">confirms that the</w:t>
      </w:r>
      <w:r>
        <w:t xml:space="preserve"> </w:t>
      </w:r>
      <w:r>
        <w:rPr>
          <w:bCs/>
          <w:b/>
        </w:rPr>
        <w:t xml:space="preserve">Accountant</w:t>
      </w:r>
      <w:r>
        <w:t xml:space="preserve"> </w:t>
      </w:r>
      <w:r>
        <w:t xml:space="preserve">has fully integrated the Sistema di Interscambio (SDI) for electronic invoicing into their workflow. There were zero instances of non-compliance regarding the transmission of invoices to the Italian Revenue Agency. The subject also demonstrated up-to-date knowledge regarding the "Spesa Contabile" (accounting expenditure) regulations, ensuring that all digital records are preserved according to the latest archival laws.</w:t>
      </w:r>
    </w:p>
    <w:bookmarkEnd w:id="24"/>
    <w:bookmarkStart w:id="25" w:name="X4ce211acb8b02978b825403f312638d11fa1afd"/>
    <w:p>
      <w:pPr>
        <w:pStyle w:val="Heading3"/>
      </w:pPr>
      <w:r>
        <w:t xml:space="preserve">3.3 Ethical Standards and Professional Conduct</w:t>
      </w:r>
    </w:p>
    <w:p>
      <w:pPr>
        <w:pStyle w:val="FirstParagraph"/>
      </w:pPr>
      <w:r>
        <w:t xml:space="preserve">Integrity is paramount for an</w:t>
      </w:r>
      <w:r>
        <w:t xml:space="preserve"> </w:t>
      </w:r>
      <w:r>
        <w:rPr>
          <w:bCs/>
          <w:b/>
        </w:rPr>
        <w:t xml:space="preserve">Accountant</w:t>
      </w:r>
      <w:r>
        <w:t xml:space="preserve"> </w:t>
      </w:r>
      <w:r>
        <w:t xml:space="preserve">in Italy. The review found no evidence of ethical breaches. The subject maintained strict confidentiality and independence, particularly in cases involving related-party transactions common in family-owned businesses prevalent in the Milan area. The</w:t>
      </w:r>
      <w:r>
        <w:t xml:space="preserve"> </w:t>
      </w:r>
      <w:r>
        <w:rPr>
          <w:bCs/>
          <w:b/>
        </w:rPr>
        <w:t xml:space="preserve">Accountant</w:t>
      </w:r>
      <w:r>
        <w:t xml:space="preserve"> </w:t>
      </w:r>
      <w:r>
        <w:t xml:space="preserve">actively participated in continuing professional development (CPD) courses required by the Milan Chamber of Commerce, ensuring their knowledge base remains current with legislative changes.</w:t>
      </w:r>
    </w:p>
    <w:bookmarkEnd w:id="25"/>
    <w:bookmarkStart w:id="26" w:name="client-relations-and-communication"/>
    <w:p>
      <w:pPr>
        <w:pStyle w:val="Heading3"/>
      </w:pPr>
      <w:r>
        <w:t xml:space="preserve">3.4 Client Relations and Communication</w:t>
      </w:r>
    </w:p>
    <w:p>
      <w:pPr>
        <w:pStyle w:val="FirstParagraph"/>
      </w:pPr>
      <w:r>
        <w:t xml:space="preserve">Operating in</w:t>
      </w:r>
      <w:r>
        <w:t xml:space="preserve"> </w:t>
      </w:r>
      <w:r>
        <w:rPr>
          <w:bCs/>
          <w:b/>
        </w:rPr>
        <w:t xml:space="preserve">Italy Milan</w:t>
      </w:r>
      <w:r>
        <w:t xml:space="preserve"> </w:t>
      </w:r>
      <w:r>
        <w:t xml:space="preserve">requires a high degree of cultural and linguistic agility. The</w:t>
      </w:r>
      <w:r>
        <w:t xml:space="preserve"> </w:t>
      </w:r>
      <w:r>
        <w:rPr>
          <w:bCs/>
          <w:b/>
        </w:rPr>
        <w:t xml:space="preserve">Accountant</w:t>
      </w:r>
      <w:r>
        <w:t xml:space="preserve"> </w:t>
      </w:r>
      <w:r>
        <w:t xml:space="preserve">was praised for their ability to communicate complex fiscal concepts to both Italian stakeholders and international investors. The review noted that the subject effectively bridges the gap between traditional Italian business practices and modern global financial expectations, a skill highly valued in Milan's cosmopolitan business environment.</w:t>
      </w:r>
    </w:p>
    <w:bookmarkEnd w:id="26"/>
    <w:bookmarkEnd w:id="27"/>
    <w:bookmarkStart w:id="28" w:name="areas-for-improvement"/>
    <w:p>
      <w:pPr>
        <w:pStyle w:val="Heading2"/>
      </w:pPr>
      <w:r>
        <w:t xml:space="preserve">4.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 few areas for enhancement:</w:t>
      </w:r>
    </w:p>
    <w:p>
      <w:pPr>
        <w:numPr>
          <w:ilvl w:val="0"/>
          <w:numId w:val="1002"/>
        </w:numPr>
        <w:pStyle w:val="Compact"/>
      </w:pPr>
      <w:r>
        <w:rPr>
          <w:bCs/>
          <w:b/>
        </w:rPr>
        <w:t xml:space="preserve">Advanced Data Analytics:</w:t>
      </w:r>
      <w:r>
        <w:t xml:space="preserve"> </w:t>
      </w:r>
      <w:r>
        <w:t xml:space="preserve">To remain competitive in</w:t>
      </w:r>
      <w:r>
        <w:t xml:space="preserve"> </w:t>
      </w:r>
      <w:r>
        <w:rPr>
          <w:bCs/>
          <w:b/>
        </w:rPr>
        <w:t xml:space="preserve">Italy Milan</w:t>
      </w:r>
      <w:r>
        <w:t xml:space="preserve">, the</w:t>
      </w:r>
      <w:r>
        <w:t xml:space="preserve"> </w:t>
      </w:r>
      <w:r>
        <w:rPr>
          <w:bCs/>
          <w:b/>
        </w:rPr>
        <w:t xml:space="preserve">Accountant</w:t>
      </w:r>
      <w:r>
        <w:t xml:space="preserve"> </w:t>
      </w:r>
      <w:r>
        <w:t xml:space="preserve">should further invest in AI-driven financial forecasting tools to provide more strategic advisory services.</w:t>
      </w:r>
    </w:p>
    <w:p>
      <w:pPr>
        <w:numPr>
          <w:ilvl w:val="0"/>
          <w:numId w:val="1002"/>
        </w:numPr>
        <w:pStyle w:val="Compact"/>
      </w:pPr>
      <w:r>
        <w:rPr>
          <w:bCs/>
          <w:b/>
        </w:rPr>
        <w:t xml:space="preserve">Sustainability Reporting:</w:t>
      </w:r>
      <w:r>
        <w:t xml:space="preserve"> </w:t>
      </w:r>
      <w:r>
        <w:t xml:space="preserve">With the EU’s increasing focus on ESG (Environmental, Social, and Governance) criteria, the</w:t>
      </w:r>
      <w:r>
        <w:t xml:space="preserve"> </w:t>
      </w:r>
      <w:r>
        <w:rPr>
          <w:bCs/>
          <w:b/>
        </w:rPr>
        <w:t xml:space="preserve">Accountant</w:t>
      </w:r>
      <w:r>
        <w:t xml:space="preserve"> </w:t>
      </w:r>
      <w:r>
        <w:t xml:space="preserve">should deepen their expertise in non-financial reporting standards, which are becoming mandatory for many Milan-based enterprises.</w:t>
      </w:r>
    </w:p>
    <w:bookmarkEnd w:id="28"/>
    <w:bookmarkStart w:id="30" w:name="conclusion-and-rating"/>
    <w:p>
      <w:pPr>
        <w:pStyle w:val="Heading2"/>
      </w:pPr>
      <w:r>
        <w:t xml:space="preserve">5. Conclusion and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Accountant</w:t>
      </w:r>
      <w:r>
        <w:t xml:space="preserve"> </w:t>
      </w:r>
      <w:r>
        <w:t xml:space="preserve">meets and exceeds the professional standards required for practice in</w:t>
      </w:r>
      <w:r>
        <w:t xml:space="preserve"> </w:t>
      </w:r>
      <w:r>
        <w:rPr>
          <w:bCs/>
          <w:b/>
        </w:rPr>
        <w:t xml:space="preserve">Italy Milan</w:t>
      </w:r>
      <w:r>
        <w:t xml:space="preserve">. The subject’s technical mastery of Italian tax law, combined with their adaptability to international standards and digital mandates, makes them a valuable asset to the financial sector.</w:t>
      </w:r>
    </w:p>
    <w:bookmarkStart w:id="29" w:name="overall-competency-rating"/>
    <w:p>
      <w:pPr>
        <w:pStyle w:val="Heading3"/>
      </w:pPr>
      <w:r>
        <w:t xml:space="preserve">Overall Competency Rating</w:t>
      </w:r>
    </w:p>
    <w:p>
      <w:pPr>
        <w:pStyle w:val="FirstParagraph"/>
      </w:pPr>
      <w:r>
        <w:t xml:space="preserve">Technical Knowledge (Italian Tax &amp; IFRS)</w:t>
      </w:r>
      <w:r>
        <w:t xml:space="preserve"> </w:t>
      </w:r>
      <w:r>
        <w:t xml:space="preserve">9.5 / 10</w:t>
      </w:r>
    </w:p>
    <w:p>
      <w:pPr>
        <w:pStyle w:val="BodyText"/>
      </w:pPr>
      <w:r>
        <w:t xml:space="preserve">Regulatory Compliance</w:t>
      </w:r>
      <w:r>
        <w:t xml:space="preserve"> </w:t>
      </w:r>
      <w:r>
        <w:t xml:space="preserve">10 / 10</w:t>
      </w:r>
    </w:p>
    <w:p>
      <w:pPr>
        <w:pStyle w:val="BodyText"/>
      </w:pPr>
      <w:r>
        <w:t xml:space="preserve">Professional Ethics</w:t>
      </w:r>
      <w:r>
        <w:t xml:space="preserve"> </w:t>
      </w:r>
      <w:r>
        <w:t xml:space="preserve">10 / 10</w:t>
      </w:r>
    </w:p>
    <w:p>
      <w:pPr>
        <w:pStyle w:val="BodyText"/>
      </w:pPr>
      <w:r>
        <w:t xml:space="preserve">Client Communication</w:t>
      </w:r>
      <w:r>
        <w:t xml:space="preserve"> </w:t>
      </w:r>
      <w:r>
        <w:t xml:space="preserve">9 / 10</w:t>
      </w:r>
    </w:p>
    <w:p>
      <w:pPr>
        <w:pStyle w:val="BodyText"/>
      </w:pPr>
      <w:r>
        <w:rPr>
          <w:bCs/>
          <w:b/>
        </w:rPr>
        <w:t xml:space="preserve">Final Score</w:t>
      </w:r>
      <w:r>
        <w:t xml:space="preserve"> </w:t>
      </w:r>
      <w:r>
        <w:rPr>
          <w:bCs/>
          <w:b/>
        </w:rPr>
        <w:t xml:space="preserve">9.6 / 10</w:t>
      </w:r>
    </w:p>
    <w:bookmarkEnd w:id="29"/>
    <w:bookmarkEnd w:id="30"/>
    <w:p>
      <w:pPr>
        <w:pStyle w:val="BodyText"/>
      </w:pPr>
      <w:r>
        <w:rPr>
          <w:bCs/>
          <w:b/>
        </w:rPr>
        <w:t xml:space="preserve">Reviewed By:</w:t>
      </w:r>
    </w:p>
    <w:p>
      <w:pPr>
        <w:pStyle w:val="BodyText"/>
      </w:pPr>
      <w:r>
        <w:t xml:space="preserve">Senior Audit Partner</w:t>
      </w:r>
    </w:p>
    <w:p>
      <w:pPr>
        <w:pStyle w:val="BodyText"/>
      </w:pPr>
      <w:r>
        <w:t xml:space="preserve">Peer Review Committee</w:t>
      </w:r>
    </w:p>
    <w:p>
      <w:pPr>
        <w:pStyle w:val="BodyText"/>
      </w:pPr>
      <w:r>
        <w:rPr>
          <w:bCs/>
          <w:b/>
        </w:rPr>
        <w:t xml:space="preserve">Reviewed For:</w:t>
      </w:r>
    </w:p>
    <w:p>
      <w:pPr>
        <w:pStyle w:val="BodyText"/>
      </w:pPr>
      <w:r>
        <w:t xml:space="preserve">Professional Accountant</w:t>
      </w:r>
    </w:p>
    <w:p>
      <w:pPr>
        <w:pStyle w:val="BodyText"/>
      </w:pPr>
      <w:r>
        <w:t xml:space="preserve">Practice Location: Italy Milan</w:t>
      </w:r>
    </w:p>
    <w:p>
      <w:pPr>
        <w:pStyle w:val="BodyText"/>
      </w:pPr>
      <w:r>
        <w:t xml:space="preserve">This document is a formal Peer Review Report intended for professional use within the accounting sector in Italy Milan. All information contained herein is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Italy Milan</dc:title>
  <dc:creator/>
  <dc:language>en</dc:language>
  <cp:keywords/>
  <dcterms:created xsi:type="dcterms:W3CDTF">2026-10-10T03:53:03Z</dcterms:created>
  <dcterms:modified xsi:type="dcterms:W3CDTF">2026-10-10T03:53:03Z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