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Kyoto,</w:t>
      </w:r>
      <w:r>
        <w:t xml:space="preserve"> </w:t>
      </w:r>
      <w:r>
        <w:t xml:space="preserve">Japan</w:t>
      </w:r>
    </w:p>
    <w:bookmarkStart w:id="27" w:name="Xfd0a5af8b71de7c2e23ddb2f1b9d58f2c5e99c2"/>
    <w:p>
      <w:pPr>
        <w:pStyle w:val="Heading1"/>
      </w:pPr>
      <w:r>
        <w:t xml:space="preserve">Peer Review Report: Professional Accounting Standards</w:t>
      </w:r>
    </w:p>
    <w:p>
      <w:pPr>
        <w:pStyle w:val="FirstParagraph"/>
      </w:pPr>
      <w:r>
        <w:t xml:space="preserve">Subject of Review</w:t>
      </w:r>
    </w:p>
    <w:p>
      <w:pPr>
        <w:pStyle w:val="BodyText"/>
      </w:pPr>
      <w:r>
        <w:t xml:space="preserve">Certified Public Accountant (CPA) / Tax Accountant</w:t>
      </w:r>
    </w:p>
    <w:p>
      <w:pPr>
        <w:pStyle w:val="BodyText"/>
      </w:pPr>
      <w:r>
        <w:t xml:space="preserve">Location of Practice</w:t>
      </w:r>
    </w:p>
    <w:p>
      <w:pPr>
        <w:pStyle w:val="BodyText"/>
      </w:pPr>
      <w:r>
        <w:t xml:space="preserve">Kyoto Prefecture, Japan</w:t>
      </w:r>
    </w:p>
    <w:p>
      <w:pPr>
        <w:pStyle w:val="BodyText"/>
      </w:pPr>
      <w:r>
        <w:t xml:space="preserve">Review Period</w:t>
      </w:r>
    </w:p>
    <w:p>
      <w:pPr>
        <w:pStyle w:val="BodyText"/>
      </w:pPr>
      <w:r>
        <w:t xml:space="preserve">Fiscal Year 2023 (April 1 – March 31)</w:t>
      </w:r>
    </w:p>
    <w:p>
      <w:pPr>
        <w:pStyle w:val="BodyText"/>
      </w:pPr>
      <w:r>
        <w:t xml:space="preserve">Review Date</w:t>
      </w:r>
    </w:p>
    <w:p>
      <w:pPr>
        <w:pStyle w:val="BodyText"/>
      </w:pPr>
      <w:r>
        <w:t xml:space="preserve">October 15, 2023</w:t>
      </w:r>
    </w:p>
    <w:bookmarkStart w:id="20" w:name="executive-summary"/>
    <w:p>
      <w:pPr>
        <w:pStyle w:val="Heading2"/>
      </w:pPr>
      <w:r>
        <w:t xml:space="preserve">1. Executive Summary</w:t>
      </w:r>
    </w:p>
    <w:p>
      <w:pPr>
        <w:pStyle w:val="FirstParagraph"/>
      </w:pPr>
      <w:r>
        <w:t xml:space="preserve">This Peer Review Report has been prepared to evaluate the professional competence, ethical adherence, and technical accuracy of the accounting practices conducted by the subject Accountant operating within the Kyoto region. The review was conducted in accordance with the standards set forth by the Japanese Institute of Certified Public Accountants (JICPA) and the local Kyoto CPA Society. The primary objective was to ensure that the financial reporting, tax compliance, and advisory services provided by the Accountant meet the rigorous regulatory requirements of Japan while maintaining the high standards of integrity expected in the historic and business-centric environment of Kyoto.</w:t>
      </w:r>
    </w:p>
    <w:p>
      <w:pPr>
        <w:pStyle w:val="BodyText"/>
      </w:pPr>
      <w:r>
        <w:t xml:space="preserve">The review encompassed a sample of audit files, tax return preparations, and advisory documentation. The findings indicate that the Accountant generally maintains a high level of professional skepticism and technical proficiency. However, specific areas regarding the implementation of new Japanese Generally Accepted Accounting Principles (J-GAAP) and the nuances of local Kyoto municipal tax regulations require attention.</w:t>
      </w:r>
    </w:p>
    <w:bookmarkEnd w:id="20"/>
    <w:bookmarkStart w:id="21" w:name="scope-and-methodology"/>
    <w:p>
      <w:pPr>
        <w:pStyle w:val="Heading2"/>
      </w:pPr>
      <w:r>
        <w:t xml:space="preserve">2. Scope and Methodology</w:t>
      </w:r>
    </w:p>
    <w:p>
      <w:pPr>
        <w:pStyle w:val="FirstParagraph"/>
      </w:pPr>
      <w:r>
        <w:t xml:space="preserve">The scope of this peer review was comprehensive, focusing on the Accountant's adherence to the Code of Professional Ethics for Certified Public Accountants in Japan. The methodology involved a detailed examination of twenty (20) selected client files, representing a mix of small-to-medium enterprises (SMEs) and larger corporations based in Kyoto.</w:t>
      </w:r>
    </w:p>
    <w:p>
      <w:pPr>
        <w:pStyle w:val="BodyText"/>
      </w:pPr>
      <w:r>
        <w:t xml:space="preserve">Special emphasis was placed on the Accountant's ability to navigate the dual regulatory environment often faced by professionals in Kyoto, which includes both national Japanese tax laws and specific local ordinances. The review team assessed the quality of working papers, the sufficiency of audit evidence, and the clarity of communication with clients. Furthermore, the review evaluated the Accountant's compliance with the Financial Instruments and Exchange Act (FIEA) where applicable.</w:t>
      </w:r>
    </w:p>
    <w:bookmarkEnd w:id="21"/>
    <w:bookmarkStart w:id="22" w:name="evaluation-of-technical-competence"/>
    <w:p>
      <w:pPr>
        <w:pStyle w:val="Heading2"/>
      </w:pPr>
      <w:r>
        <w:t xml:space="preserve">3. Evaluation of Technical Competence</w:t>
      </w:r>
    </w:p>
    <w:p>
      <w:pPr>
        <w:pStyle w:val="FirstParagraph"/>
      </w:pPr>
      <w:r>
        <w:rPr>
          <w:bCs/>
          <w:b/>
        </w:rPr>
        <w:t xml:space="preserve">3.1 Financial Reporting and J-GAAP Compliance</w:t>
      </w:r>
      <w:r>
        <w:br/>
      </w:r>
      <w:r>
        <w:t xml:space="preserve">The Accountant demonstrated a strong understanding of J-GAAP. The financial statements reviewed were presented fairly in all material respects. The review noted that the Accountant correctly applied the standards regarding revenue recognition and lease accounting (ASBJ Statement No. 29). However, in one instance involving a Kyoto-based manufacturing client, there was a minor discrepancy in the valuation of inventory reserves. While not material to the overall financial position, this highlights a need for more rigorous review of industry-specific inventory accounting practices common in the Kyoto manufacturing sector.</w:t>
      </w:r>
    </w:p>
    <w:p>
      <w:pPr>
        <w:pStyle w:val="BodyText"/>
      </w:pPr>
      <w:r>
        <w:rPr>
          <w:bCs/>
          <w:b/>
        </w:rPr>
        <w:t xml:space="preserve">3.2 Tax Compliance and Local Regulations</w:t>
      </w:r>
      <w:r>
        <w:br/>
      </w:r>
      <w:r>
        <w:t xml:space="preserve">A critical aspect of this review was the examination of tax filings. The Accountant showed proficiency in corporate income tax and consumption tax calculations. However, the review identified a gap in the application of Kyoto City's specific fixed asset tax exemptions for certain small businesses. The Accountant failed to apply a recent municipal tax relief measure available to clients in the Higashiyama ward. This oversight, while correctable, suggests that the Accountant must stay more vigilant regarding updates from the Kyoto Prefectural Tax Office and the Kyoto City Finance Bureau.</w:t>
      </w:r>
    </w:p>
    <w:bookmarkEnd w:id="22"/>
    <w:bookmarkStart w:id="23" w:name="ethical-standards-and-independence"/>
    <w:p>
      <w:pPr>
        <w:pStyle w:val="Heading2"/>
      </w:pPr>
      <w:r>
        <w:t xml:space="preserve">4. Ethical Standards and Independence</w:t>
      </w:r>
    </w:p>
    <w:p>
      <w:pPr>
        <w:pStyle w:val="FirstParagraph"/>
      </w:pPr>
      <w:r>
        <w:t xml:space="preserve">The review confirmed that the Accountant maintained independence in both fact and appearance. No conflicts of interest were identified in the sampled files. The Accountant adhered to the confidentiality requirements mandated by the Japanese CPA Law. The documentation regarding client acceptance and continuance was adequate, demonstrating that the Accountant performed necessary due diligence to ensure that clients in the Kyoto area were not involved in activities that would compromise the firm's reputation or ethical standing.</w:t>
      </w:r>
    </w:p>
    <w:bookmarkEnd w:id="23"/>
    <w:bookmarkStart w:id="24" w:name="quality-control-and-documentation"/>
    <w:p>
      <w:pPr>
        <w:pStyle w:val="Heading2"/>
      </w:pPr>
      <w:r>
        <w:t xml:space="preserve">5. Quality Control and Documentation</w:t>
      </w:r>
    </w:p>
    <w:p>
      <w:pPr>
        <w:pStyle w:val="FirstParagraph"/>
      </w:pPr>
      <w:r>
        <w:t xml:space="preserve">The quality of working papers was generally satisfactory. The files were organized logically, allowing for easy retrieval of evidence. However, the review noted that some files lacked sufficient documentation regarding the rationale for significant accounting estimates. In the context of Japan's increasingly complex business environment, particularly for firms in Kyoto dealing with international tourism and export markets, detailed documentation of judgment calls is essential for defensibility during external inspections.</w:t>
      </w:r>
    </w:p>
    <w:p>
      <w:pPr>
        <w:pStyle w:val="BodyText"/>
      </w:pPr>
      <w:r>
        <w:t xml:space="preserve">Additionally, the review observed that the Accountant's internal quality control procedures regarding the review of junior staff work were sometimes informal. It is recommended that the Accountant implement a more structured sign-off process to ensure consistency across all engagements.</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the Accountant:</w:t>
      </w:r>
    </w:p>
    <w:p>
      <w:pPr>
        <w:numPr>
          <w:ilvl w:val="0"/>
          <w:numId w:val="1001"/>
        </w:numPr>
        <w:pStyle w:val="Compact"/>
      </w:pPr>
      <w:r>
        <w:rPr>
          <w:bCs/>
          <w:b/>
        </w:rPr>
        <w:t xml:space="preserve">Enhanced Local Tax Training:</w:t>
      </w:r>
      <w:r>
        <w:t xml:space="preserve"> </w:t>
      </w:r>
      <w:r>
        <w:t xml:space="preserve">The Accountant should engage in continuing professional development (CPD) specifically focused on Kyoto Prefecture and Kyoto City tax ordinances to prevent future oversights regarding local municipal taxes.</w:t>
      </w:r>
    </w:p>
    <w:p>
      <w:pPr>
        <w:numPr>
          <w:ilvl w:val="0"/>
          <w:numId w:val="1001"/>
        </w:numPr>
        <w:pStyle w:val="Compact"/>
      </w:pPr>
      <w:r>
        <w:rPr>
          <w:bCs/>
          <w:b/>
        </w:rPr>
        <w:t xml:space="preserve">Documentation Improvement:</w:t>
      </w:r>
      <w:r>
        <w:t xml:space="preserve"> </w:t>
      </w:r>
      <w:r>
        <w:t xml:space="preserve">Implement a standardized template for documenting significant accounting estimates and judgments to ensure compliance with JICPA standards.</w:t>
      </w:r>
    </w:p>
    <w:p>
      <w:pPr>
        <w:numPr>
          <w:ilvl w:val="0"/>
          <w:numId w:val="1001"/>
        </w:numPr>
        <w:pStyle w:val="Compact"/>
      </w:pPr>
      <w:r>
        <w:rPr>
          <w:bCs/>
          <w:b/>
        </w:rPr>
        <w:t xml:space="preserve">Inventory Accounting Review:</w:t>
      </w:r>
      <w:r>
        <w:t xml:space="preserve"> </w:t>
      </w:r>
      <w:r>
        <w:t xml:space="preserve">Conduct a specific internal review of inventory accounting procedures for manufacturing clients to align with industry best practices.</w:t>
      </w:r>
    </w:p>
    <w:p>
      <w:pPr>
        <w:numPr>
          <w:ilvl w:val="0"/>
          <w:numId w:val="1001"/>
        </w:numPr>
        <w:pStyle w:val="Compact"/>
      </w:pPr>
      <w:r>
        <w:rPr>
          <w:bCs/>
          <w:b/>
        </w:rPr>
        <w:t xml:space="preserve">Formalized QC Process:</w:t>
      </w:r>
      <w:r>
        <w:t xml:space="preserve"> </w:t>
      </w:r>
      <w:r>
        <w:t xml:space="preserve">Establish a formal internal quality control checklist for the review of working papers by senior staff.</w:t>
      </w:r>
    </w:p>
    <w:bookmarkEnd w:id="25"/>
    <w:bookmarkStart w:id="26" w:name="conclusion"/>
    <w:p>
      <w:pPr>
        <w:pStyle w:val="Heading2"/>
      </w:pPr>
      <w:r>
        <w:t xml:space="preserve">7. Conclusion</w:t>
      </w:r>
    </w:p>
    <w:p>
      <w:pPr>
        <w:pStyle w:val="FirstParagraph"/>
      </w:pPr>
      <w:r>
        <w:t xml:space="preserve">In conclusion, the Accountant under review demonstrates a solid foundation of professional knowledge and ethical conduct. The practice in Kyoto is generally compliant with national standards. The issues identified are minor and relate primarily to the need for heightened awareness of local municipal regulations and improved documentation practices. With the implementation of the recommended corrective actions, the Accountant is well-positioned to continue providing high-quality accounting services to the business community in Kyoto, Japan.</w:t>
      </w:r>
    </w:p>
    <w:p>
      <w:pPr>
        <w:pStyle w:val="BodyText"/>
      </w:pPr>
      <w:r>
        <w:rPr>
          <w:bCs/>
          <w:b/>
        </w:rPr>
        <w:t xml:space="preserve">Reviewed By:</w:t>
      </w:r>
      <w:r>
        <w:br/>
      </w:r>
      <w:r>
        <w:t xml:space="preserve">Senior Peer Reviewer</w:t>
      </w:r>
      <w:r>
        <w:br/>
      </w:r>
      <w:r>
        <w:t xml:space="preserve">Kyoto CPA Society</w:t>
      </w:r>
    </w:p>
    <w:p>
      <w:pPr>
        <w:pStyle w:val="BodyText"/>
      </w:pPr>
      <w:r>
        <w:rPr>
          <w:bCs/>
          <w:b/>
        </w:rPr>
        <w:t xml:space="preserve">Date of Approval:</w:t>
      </w:r>
      <w:r>
        <w:br/>
      </w:r>
      <w:r>
        <w:t xml:space="preserve">October 20, 2023</w:t>
      </w:r>
    </w:p>
    <w:p>
      <w:pPr>
        <w:pStyle w:val="BodyText"/>
      </w:pPr>
      <w:r>
        <w:t xml:space="preserve">This document is confidential and intended solely for the use of the addressee. It is prepared in accordance with the standards of the Japanese Institute of Certified Public Accountants.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Practices in Kyoto, Japan</dc:title>
  <dc:creator/>
  <dc:language>en</dc:language>
  <cp:keywords/>
  <dcterms:created xsi:type="dcterms:W3CDTF">2026-10-10T07:36:46Z</dcterms:created>
  <dcterms:modified xsi:type="dcterms:W3CDTF">2026-10-10T07:36:46Z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