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Kenya</w:t>
      </w:r>
      <w:r>
        <w:t xml:space="preserve"> </w:t>
      </w:r>
      <w:r>
        <w:t xml:space="preserve">Nairobi</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Accountant</w:t>
      </w:r>
    </w:p>
    <w:p>
      <w:pPr>
        <w:pStyle w:val="BodyText"/>
      </w:pPr>
      <w:r>
        <w:rPr>
          <w:bCs/>
          <w:b/>
        </w:rPr>
        <w:t xml:space="preserve">Location:</w:t>
      </w:r>
      <w:r>
        <w:t xml:space="preserve"> </w:t>
      </w:r>
      <w:r>
        <w:t xml:space="preserve">Kenya Nairobi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Nairobi Institute of Certified Public Accountants (NICPA) Peer Review Committee</w:t>
      </w:r>
    </w:p>
    <w:p>
      <w:pPr>
        <w:pStyle w:val="BodyText"/>
      </w:pPr>
      <w:r>
        <w:rPr>
          <w:bCs/>
          <w:b/>
        </w:rPr>
        <w:t xml:space="preserve">Reference Number:</w:t>
      </w:r>
      <w:r>
        <w:t xml:space="preserve"> </w:t>
      </w:r>
      <w:r>
        <w:t xml:space="preserve">NBR-ACC-2023-089</w:t>
      </w:r>
    </w:p>
    <w:bookmarkStart w:id="20"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the Accountant under review. The assessment is conducted within the regulatory framework of Kenya Nairobi, specifically aligning with the standards set by the Institute of Certified Public Accountants of Kenya (ICPAK) and the requirements of the Accountants and Secretaries Regulatory Authority (ASRA).</w:t>
      </w:r>
    </w:p>
    <w:p>
      <w:pPr>
        <w:pStyle w:val="BodyText"/>
      </w:pPr>
      <w:r>
        <w:t xml:space="preserve">The scope of this review encompasses the Accountant's handling of financial reporting, tax compliance under the Kenya Revenue Authority (KRA) guidelines, internal control systems, and adherence to the Code of Ethics for Professional Accountants. The review period covers the financial year ending June 30, 2023. The objective is to ensure that the Accountant maintains the high standards expected of professionals operating in the dynamic economic environment of Kenya Nairobi.</w:t>
      </w:r>
    </w:p>
    <w:bookmarkEnd w:id="20"/>
    <w:bookmarkStart w:id="21" w:name="regulatory-context-and-standards"/>
    <w:p>
      <w:pPr>
        <w:pStyle w:val="Heading2"/>
      </w:pPr>
      <w:r>
        <w:t xml:space="preserve">2. Regulatory Context and Standards</w:t>
      </w:r>
    </w:p>
    <w:p>
      <w:pPr>
        <w:pStyle w:val="FirstParagraph"/>
      </w:pPr>
      <w:r>
        <w:t xml:space="preserve">The evaluation is based on the International Financial Reporting Standards (IFRS) as adopted in Kenya. Furthermore, the Accountant's work is scrutinized against the Companies Act of Kenya and the Tax Procedures Act. Given the specific operational context of Kenya Nairobi, the review also considers local business practices, digital tax compliance systems (such as iTax), and the evolving regulatory landscape regarding anti-money laundering (AML) and counter-terrorist financing (CTF) measures.</w:t>
      </w:r>
    </w:p>
    <w:bookmarkEnd w:id="21"/>
    <w:bookmarkStart w:id="24" w:name="assessment-of-technical-competence"/>
    <w:p>
      <w:pPr>
        <w:pStyle w:val="Heading2"/>
      </w:pPr>
      <w:r>
        <w:t xml:space="preserve">3. Assessment of Technical Competence</w:t>
      </w:r>
    </w:p>
    <w:bookmarkStart w:id="22" w:name="financial-reporting-and-auditing"/>
    <w:p>
      <w:pPr>
        <w:pStyle w:val="Heading3"/>
      </w:pPr>
      <w:r>
        <w:t xml:space="preserve">3.1 Financial Reporting and Auditing</w:t>
      </w:r>
    </w:p>
    <w:p>
      <w:pPr>
        <w:pStyle w:val="FirstParagraph"/>
      </w:pPr>
      <w:r>
        <w:t xml:space="preserve">The Accountant demonstrated a strong command of financial reporting principles. The reviewed financial statements were prepared in accordance with IFRS and presented fairly. The notes to the financial statements were comprehensive, providing necessary disclosures regarding contingent liabilities and related party transactions, which are critical areas in the Kenya Nairobi corporate sector.</w:t>
      </w:r>
    </w:p>
    <w:p>
      <w:pPr>
        <w:pStyle w:val="BodyText"/>
      </w:pPr>
      <w:r>
        <w:t xml:space="preserve">However, the review identified minor inconsistencies in the classification of certain non-current assets. While these did not materially affect the financial position, they indicate a need for heightened attention to detail in asset categorization.</w:t>
      </w:r>
    </w:p>
    <w:bookmarkEnd w:id="22"/>
    <w:bookmarkStart w:id="23" w:name="tax-compliance-and-advisory"/>
    <w:p>
      <w:pPr>
        <w:pStyle w:val="Heading3"/>
      </w:pPr>
      <w:r>
        <w:t xml:space="preserve">3.2 Tax Compliance and Advisory</w:t>
      </w:r>
    </w:p>
    <w:p>
      <w:pPr>
        <w:pStyle w:val="FirstParagraph"/>
      </w:pPr>
      <w:r>
        <w:t xml:space="preserve">The Accountant's management of tax obligations was evaluated against KRA regulations. The review found that the Accountant maintained up-to-date records for Value Added Tax (VAT), Pay As You Earn (PAYE), and Corporate Income Tax. The timely filing of returns via the KRA iTax portal was observed, reflecting a good understanding of the digital compliance requirements in Kenya Nairobi.</w:t>
      </w:r>
    </w:p>
    <w:p>
      <w:pPr>
        <w:pStyle w:val="BodyText"/>
      </w:pPr>
      <w:r>
        <w:t xml:space="preserve">The Accountant provided sound advice on tax planning strategies, ensuring that the client remained compliant while optimizing tax liabilities within the legal framework.</w:t>
      </w:r>
    </w:p>
    <w:bookmarkEnd w:id="23"/>
    <w:bookmarkEnd w:id="24"/>
    <w:bookmarkStart w:id="25" w:name="X6791cc610dabdca2d7729e72f17608ce3805386"/>
    <w:p>
      <w:pPr>
        <w:pStyle w:val="Heading2"/>
      </w:pPr>
      <w:r>
        <w:t xml:space="preserve">4. Ethical Compliance and Professional Conduct</w:t>
      </w:r>
    </w:p>
    <w:p>
      <w:pPr>
        <w:pStyle w:val="FirstParagraph"/>
      </w:pPr>
      <w:r>
        <w:t xml:space="preserve">Adherence to the ICPAK Code of Ethics was a central focus of this Peer Review Report. The Accountant was assessed on the fundamental principles of integrity, objectivity, professional competence, confidentiality, and professional behavior.</w:t>
      </w:r>
    </w:p>
    <w:p>
      <w:pPr>
        <w:pStyle w:val="BodyText"/>
      </w:pPr>
      <w:r>
        <w:t xml:space="preserve">The review found no evidence of ethical breaches. The Accountant maintained strict confidentiality of client information and demonstrated objectivity in financial reporting. The professional relationship with clients in Kenya Nairobi was characterized by transparency and trust, aligning with the ethical expectations of the profession.</w:t>
      </w:r>
    </w:p>
    <w:bookmarkEnd w:id="25"/>
    <w:bookmarkStart w:id="26" w:name="quality-control-and-internal-systems"/>
    <w:p>
      <w:pPr>
        <w:pStyle w:val="Heading2"/>
      </w:pPr>
      <w:r>
        <w:t xml:space="preserve">5. Quality Control and Internal Systems</w:t>
      </w:r>
    </w:p>
    <w:p>
      <w:pPr>
        <w:pStyle w:val="FirstParagraph"/>
      </w:pPr>
      <w:r>
        <w:t xml:space="preserve">The Accountant's internal quality control systems were reviewed to ensure consistency and reliability in service delivery. The documentation of work papers was generally adequate, providing sufficient evidence to support the conclusions reached. However, the review recommends the implementation of a more robust digital archiving system to enhance data security and retrieval efficiency, which is increasingly important in the modern business environment of Kenya Nairobi.</w:t>
      </w:r>
    </w:p>
    <w:bookmarkEnd w:id="26"/>
    <w:bookmarkStart w:id="27" w:name="findings-and-recommendations"/>
    <w:p>
      <w:pPr>
        <w:pStyle w:val="Heading2"/>
      </w:pPr>
      <w:r>
        <w:t xml:space="preserve">6. Findings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Review</w:t>
            </w:r>
          </w:p>
        </w:tc>
        <w:tc>
          <w:tcPr/>
          <w:p>
            <w:pPr>
              <w:pStyle w:val="Compact"/>
              <w:jc w:val="left"/>
            </w:pPr>
            <w:r>
              <w:t xml:space="preserve">Findings</w:t>
            </w:r>
          </w:p>
        </w:tc>
        <w:tc>
          <w:tcPr/>
          <w:p>
            <w:pPr>
              <w:pStyle w:val="Compact"/>
              <w:jc w:val="left"/>
            </w:pPr>
            <w:r>
              <w:t xml:space="preserve">Recommendations</w:t>
            </w:r>
          </w:p>
        </w:tc>
      </w:tr>
      <w:tr>
        <w:tc>
          <w:tcPr/>
          <w:p>
            <w:pPr>
              <w:pStyle w:val="Compact"/>
              <w:jc w:val="left"/>
            </w:pPr>
            <w:r>
              <w:t xml:space="preserve">Financial Reporting</w:t>
            </w:r>
          </w:p>
        </w:tc>
        <w:tc>
          <w:tcPr/>
          <w:p>
            <w:pPr>
              <w:pStyle w:val="Compact"/>
              <w:jc w:val="left"/>
            </w:pPr>
            <w:r>
              <w:t xml:space="preserve">Minor inconsistencies in asset classification.</w:t>
            </w:r>
          </w:p>
        </w:tc>
        <w:tc>
          <w:tcPr/>
          <w:p>
            <w:pPr>
              <w:pStyle w:val="Compact"/>
              <w:jc w:val="left"/>
            </w:pPr>
            <w:r>
              <w:t xml:space="preserve">Implement a checklist for asset categorization to ensure accuracy.</w:t>
            </w:r>
          </w:p>
        </w:tc>
      </w:tr>
      <w:tr>
        <w:tc>
          <w:tcPr/>
          <w:p>
            <w:pPr>
              <w:pStyle w:val="Compact"/>
              <w:jc w:val="left"/>
            </w:pPr>
            <w:r>
              <w:t xml:space="preserve">Tax Compliance</w:t>
            </w:r>
          </w:p>
        </w:tc>
        <w:tc>
          <w:tcPr/>
          <w:p>
            <w:pPr>
              <w:pStyle w:val="Compact"/>
              <w:jc w:val="left"/>
            </w:pPr>
            <w:r>
              <w:t xml:space="preserve">Excellent compliance with KRA regulations.</w:t>
            </w:r>
          </w:p>
        </w:tc>
        <w:tc>
          <w:tcPr/>
          <w:p>
            <w:pPr>
              <w:pStyle w:val="Compact"/>
              <w:jc w:val="left"/>
            </w:pPr>
            <w:r>
              <w:t xml:space="preserve">Continue current practices and stay updated on tax law changes.</w:t>
            </w:r>
          </w:p>
        </w:tc>
      </w:tr>
      <w:tr>
        <w:tc>
          <w:tcPr/>
          <w:p>
            <w:pPr>
              <w:pStyle w:val="Compact"/>
              <w:jc w:val="left"/>
            </w:pPr>
            <w:r>
              <w:t xml:space="preserve">Quality Control</w:t>
            </w:r>
          </w:p>
        </w:tc>
        <w:tc>
          <w:tcPr/>
          <w:p>
            <w:pPr>
              <w:pStyle w:val="Compact"/>
              <w:jc w:val="left"/>
            </w:pPr>
            <w:r>
              <w:t xml:space="preserve">Documentation is adequate but could be more systematic.</w:t>
            </w:r>
          </w:p>
        </w:tc>
        <w:tc>
          <w:tcPr/>
          <w:p>
            <w:pPr>
              <w:pStyle w:val="Compact"/>
              <w:jc w:val="left"/>
            </w:pPr>
            <w:r>
              <w:t xml:space="preserve">Adopt a digital archiving system for better data management.</w:t>
            </w:r>
          </w:p>
        </w:tc>
      </w:tr>
      <w:tr>
        <w:tc>
          <w:tcPr/>
          <w:p>
            <w:pPr>
              <w:pStyle w:val="Compact"/>
              <w:jc w:val="left"/>
            </w:pPr>
            <w:r>
              <w:t xml:space="preserve">Ethical Conduct</w:t>
            </w:r>
          </w:p>
        </w:tc>
        <w:tc>
          <w:tcPr/>
          <w:p>
            <w:pPr>
              <w:pStyle w:val="Compact"/>
              <w:jc w:val="left"/>
            </w:pPr>
            <w:r>
              <w:t xml:space="preserve">No breaches identified.</w:t>
            </w:r>
          </w:p>
        </w:tc>
        <w:tc>
          <w:tcPr/>
          <w:p>
            <w:pPr>
              <w:pStyle w:val="Compact"/>
              <w:jc w:val="left"/>
            </w:pPr>
            <w:r>
              <w:t xml:space="preserve">Maintain high ethical standards and participate in continuous professional development.</w:t>
            </w:r>
          </w:p>
        </w:tc>
      </w:tr>
    </w:tbl>
    <w:bookmarkEnd w:id="27"/>
    <w:bookmarkStart w:id="28" w:name="conclusion"/>
    <w:p>
      <w:pPr>
        <w:pStyle w:val="Heading2"/>
      </w:pPr>
      <w:r>
        <w:t xml:space="preserve">7. Conclusion</w:t>
      </w:r>
    </w:p>
    <w:p>
      <w:pPr>
        <w:pStyle w:val="FirstParagraph"/>
      </w:pPr>
      <w:r>
        <w:t xml:space="preserve">Based on the comprehensive evaluation conducted, the Peer Review Report concludes that the Accountant meets the professional standards required for practice in Kenya Nairobi. The Accountant demonstrates technical competence, ethical integrity, and a commitment to quality service. The minor areas for improvement identified are not material and can be addressed through the recommended actions.</w:t>
      </w:r>
    </w:p>
    <w:p>
      <w:pPr>
        <w:pStyle w:val="BodyText"/>
      </w:pPr>
      <w:r>
        <w:t xml:space="preserve">The reviewing committee is satisfied that the Accountant is fit to continue providing professional services to clients in Kenya Nairobi and recommends the renewal of their professional certification.</w:t>
      </w:r>
    </w:p>
    <w:bookmarkEnd w:id="28"/>
    <w:p>
      <w:pPr>
        <w:pStyle w:val="BodyText"/>
      </w:pPr>
      <w:r>
        <w:rPr>
          <w:bCs/>
          <w:b/>
        </w:rPr>
        <w:t xml:space="preserve">Reviewed By:</w:t>
      </w:r>
    </w:p>
    <w:p>
      <w:pPr>
        <w:pStyle w:val="BodyText"/>
      </w:pPr>
      <w:r>
        <w:t xml:space="preserve">John Kamau, CPA</w:t>
      </w:r>
    </w:p>
    <w:p>
      <w:pPr>
        <w:pStyle w:val="BodyText"/>
      </w:pPr>
      <w:r>
        <w:t xml:space="preserve">Lead Peer Reviewer</w:t>
      </w:r>
    </w:p>
    <w:p>
      <w:pPr>
        <w:pStyle w:val="BodyText"/>
      </w:pPr>
      <w:r>
        <w:t xml:space="preserve">Nairobi Institute of Certified Public Accountants</w:t>
      </w:r>
    </w:p>
    <w:p>
      <w:pPr>
        <w:pStyle w:val="BodyText"/>
      </w:pPr>
      <w:r>
        <w:rPr>
          <w:bCs/>
          <w:b/>
        </w:rPr>
        <w:t xml:space="preserve">Approved By:</w:t>
      </w:r>
    </w:p>
    <w:p>
      <w:pPr>
        <w:pStyle w:val="BodyText"/>
      </w:pPr>
      <w:r>
        <w:t xml:space="preserve">Sarah Wanjiku, FCPA</w:t>
      </w:r>
    </w:p>
    <w:p>
      <w:pPr>
        <w:pStyle w:val="BodyText"/>
      </w:pPr>
      <w:r>
        <w:t xml:space="preserve">Chairperson, Peer Review Committee</w:t>
      </w:r>
    </w:p>
    <w:p>
      <w:pPr>
        <w:pStyle w:val="BodyText"/>
      </w:pPr>
      <w:r>
        <w:t xml:space="preserve">Nairobi Institute of Certified Public Accountants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Kenya Nairobi</dc:title>
  <dc:creator/>
  <dc:language>en</dc:language>
  <cp:keywords/>
  <dcterms:created xsi:type="dcterms:W3CDTF">2026-10-10T04:47:07Z</dcterms:created>
  <dcterms:modified xsi:type="dcterms:W3CDTF">2026-10-10T04:47:07Z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