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Performance Evaluation of an Accountant</w:t>
      </w:r>
    </w:p>
    <w:p>
      <w:pPr>
        <w:pStyle w:val="BodyText"/>
      </w:pPr>
      <w:r>
        <w:rPr>
          <w:bCs/>
          <w:b/>
        </w:rPr>
        <w:t xml:space="preserve">Location:</w:t>
      </w:r>
      <w:r>
        <w:t xml:space="preserve"> </w:t>
      </w:r>
      <w:r>
        <w:t xml:space="preserve">Kuala Lumpur, Malaysia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designated Accountant operating within the financial district of Kuala Lumpur, Malaysia. The purpose of this review is to ensure that the Accountant maintains the high standards required by the Malaysian Institute of Accountants (MIA) and complies with the Financial Reporting Standards (FRS) applicable in Malaysia.</w:t>
      </w:r>
    </w:p>
    <w:p>
      <w:pPr>
        <w:pStyle w:val="BodyText"/>
      </w:pPr>
      <w:r>
        <w:t xml:space="preserve">The scope of this review encompasses the examination of audit files, tax compliance submissions, financial statement preparations, and internal control assessments conducted by the Accountant during the specified review period. Given the dynamic economic landscape of Kuala Lumpur, this report also assesses the Accountant's ability to adapt to recent regulatory changes introduced by the Securities Commission Malaysia and the Inland Revenue Board of Malaysia (LHDN).</w:t>
      </w:r>
    </w:p>
    <w:bookmarkEnd w:id="21"/>
    <w:bookmarkStart w:id="22" w:name="Xfd6c0bd97f3326077207f184e0151b9cadf8202"/>
    <w:p>
      <w:pPr>
        <w:pStyle w:val="Heading2"/>
      </w:pPr>
      <w:r>
        <w:t xml:space="preserve">2. Regulatory Compliance and Ethical Standards</w:t>
      </w:r>
    </w:p>
    <w:p>
      <w:pPr>
        <w:pStyle w:val="FirstParagraph"/>
      </w:pPr>
      <w:r>
        <w:t xml:space="preserve">A critical component of this Peer Review Report is the assessment of the Accountant's adherence to the Code of Ethics for Professional Accountants. In the context of Kuala Lumpur, where multinational corporations and local enterprises coexist, the Accountant must navigate complex ethical dilemmas. The review confirms that the Accountant has demonstrated unwavering integrity, objectivity, and professional behavior.</w:t>
      </w:r>
    </w:p>
    <w:p>
      <w:pPr>
        <w:pStyle w:val="BodyText"/>
      </w:pPr>
      <w:r>
        <w:t xml:space="preserve">Specifically, the Accountant has strictly followed the Anti-Money Laundering, Anti-Terrorism Financing and Proceeds of Unlawful Activities Act 2001 (AMLA), which is rigorously enforced in Malaysia. The documentation reviewed shows that the Accountant performed adequate Know Your Customer (KYC) checks and reported suspicious transactions in accordance with the requirements of the Bank Negara Malaysia. This level of compliance is essential for maintaining the reputation of the accounting profession in Kuala Lumpur.</w:t>
      </w:r>
    </w:p>
    <w:bookmarkEnd w:id="22"/>
    <w:bookmarkStart w:id="23" w:name="X2d52d5904558ecde737553bef4285b0c6b9c1bd"/>
    <w:p>
      <w:pPr>
        <w:pStyle w:val="Heading2"/>
      </w:pPr>
      <w:r>
        <w:t xml:space="preserve">3. Technical Competence and Financial Reporting</w:t>
      </w:r>
    </w:p>
    <w:p>
      <w:pPr>
        <w:pStyle w:val="FirstParagraph"/>
      </w:pPr>
      <w:r>
        <w:t xml:space="preserve">The technical proficiency of the Accountant was evaluated based on the accuracy and timeliness of financial reporting. The review focused on the application of Malaysian Financial Reporting Standards (MFRS) and International Financial Reporting Standards (IFRS), which are largely converged in Malaysia.</w:t>
      </w:r>
    </w:p>
    <w:p>
      <w:pPr>
        <w:pStyle w:val="BodyText"/>
      </w:pPr>
      <w:r>
        <w:t xml:space="preserve">The Accountant demonstrated a strong command of MFRS 15 (Revenue from Contracts with Customers) and MFRS 16 (Leases), which are particularly relevant for the diverse business sectors in Kuala Lumpur, including property development and retail. The financial statements prepared by the Accountant were free from material misstatement and presented a true and fair view of the clients' financial positions. Furthermore, the Accountant effectively utilized cloud-based accounting software, reflecting the technological advancement prevalent in the Kuala Lumpur business ecosystem.</w:t>
      </w:r>
    </w:p>
    <w:bookmarkEnd w:id="23"/>
    <w:bookmarkStart w:id="24" w:name="taxation-and-statutory-obligations"/>
    <w:p>
      <w:pPr>
        <w:pStyle w:val="Heading2"/>
      </w:pPr>
      <w:r>
        <w:t xml:space="preserve">4. Taxation and Statutory Obligations</w:t>
      </w:r>
    </w:p>
    <w:p>
      <w:pPr>
        <w:pStyle w:val="FirstParagraph"/>
      </w:pPr>
      <w:r>
        <w:t xml:space="preserve">Tax compliance is a cornerstone of the Accountant's responsibilities in Malaysia. This Peer Review Report highlights the Accountant's proficiency in managing corporate income tax, Goods and Services Tax (GST) legacy issues, and the current Sales and Service Tax (SST) regime. The Accountant has ensured that all statutory filings with the LHDN were submitted within the prescribed deadlines, thereby avoiding penalties for clients.</w:t>
      </w:r>
    </w:p>
    <w:p>
      <w:pPr>
        <w:pStyle w:val="BodyText"/>
      </w:pPr>
      <w:r>
        <w:t xml:space="preserve">Additionally, the Accountant provided valuable advisory services regarding tax incentives available in Kuala Lumpur, such as those offered by the Malaysian Investment Development Authority (MIDA). This proactive approach demonstrates not only technical knowledge but also a commitment to adding value to clients operating in the competitive Kuala Lumpur market.</w:t>
      </w:r>
    </w:p>
    <w:bookmarkEnd w:id="24"/>
    <w:bookmarkStart w:id="25" w:name="X2c4c7aff83bb991f4b73967d1c0036085ae2881"/>
    <w:p>
      <w:pPr>
        <w:pStyle w:val="Heading2"/>
      </w:pPr>
      <w:r>
        <w:t xml:space="preserve">5. Professional Development and Continuous Learning</w:t>
      </w:r>
    </w:p>
    <w:p>
      <w:pPr>
        <w:pStyle w:val="FirstParagraph"/>
      </w:pPr>
      <w:r>
        <w:t xml:space="preserve">To maintain their practicing certificate with the MIA, an Accountant must complete a minimum number of Continuing Professional Development (CPD) hours. The review confirms that the Accountant has exceeded the mandatory CPD requirements. The Accountant has actively participated in seminars and workshops focused on emerging trends in digital forensics and sustainability reporting, which are increasingly important in Malaysia's push towards green finance.</w:t>
      </w:r>
    </w:p>
    <w:p>
      <w:pPr>
        <w:pStyle w:val="BodyText"/>
      </w:pPr>
      <w:r>
        <w:t xml:space="preserve">This commitment to continuous learning ensures that the Accountant remains at the forefront of industry developments in Kuala Lumpur, thereby providing clients with up-to-date and relevant financial advice.</w:t>
      </w:r>
    </w:p>
    <w:bookmarkEnd w:id="25"/>
    <w:bookmarkStart w:id="26" w:name="areas-for-improvement"/>
    <w:p>
      <w:pPr>
        <w:pStyle w:val="Heading2"/>
      </w:pPr>
      <w:r>
        <w:t xml:space="preserve">6. Areas for Improvement</w:t>
      </w:r>
    </w:p>
    <w:p>
      <w:pPr>
        <w:pStyle w:val="FirstParagraph"/>
      </w:pPr>
      <w:r>
        <w:t xml:space="preserve">While the overall performance of the Accountant is commendable, this Peer Review Report identifies a few areas for improvement. Firstly, there is a need to enhance the documentation of internal audit procedures to ensure greater transparency and ease of review. Secondly, the Accountant should consider expanding their knowledge of cross-border taxation implications, as many clients in Kuala Lumpur engage in international trade. Strengthening these areas will further elevate the quality of service provided.</w:t>
      </w:r>
    </w:p>
    <w:bookmarkEnd w:id="26"/>
    <w:bookmarkStart w:id="27" w:name="conclusion"/>
    <w:p>
      <w:pPr>
        <w:pStyle w:val="Heading2"/>
      </w:pPr>
      <w:r>
        <w:t xml:space="preserve">7. Conclusion</w:t>
      </w:r>
    </w:p>
    <w:p>
      <w:pPr>
        <w:pStyle w:val="FirstParagraph"/>
      </w:pPr>
      <w:r>
        <w:t xml:space="preserve">In conclusion, this Peer Review Report affirms that the Accountant operating in Kuala Lumpur, Malaysia, possesses the requisite technical skills, ethical integrity, and professional diligence to perform their duties effectively. The Accountant has consistently adhered to the standards set by the MIA and other relevant regulatory bodies in Malaysia. With minor improvements in documentation and international tax knowledge, the Accountant is well-positioned to continue serving the financial needs of clients in Kuala Lumpur with excellence.</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Malaysian Institute of Accountants (MIA)</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Kuala Lumpur, Malaysia</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