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Compliance Assessment of an Accountant</w:t>
      </w:r>
    </w:p>
    <w:p>
      <w:pPr>
        <w:pStyle w:val="BodyText"/>
      </w:pPr>
      <w:r>
        <w:rPr>
          <w:bCs/>
          <w:b/>
        </w:rPr>
        <w:t xml:space="preserve">Location:</w:t>
      </w:r>
      <w:r>
        <w:t xml:space="preserve"> </w:t>
      </w:r>
      <w:r>
        <w:t xml:space="preserve">Mexico City, Mexico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Professional Standards Committee</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regulatory compliance of the subject Accountant operating within the jurisdiction of Mexico City. The review was conducted in accordance with the standards established by the Mexican Institute of Public Accountants (IMCP) and the regulatory frameworks enforced by the Federal Tax Administration Service (SAT). The primary objective of this assessment is to ensure that the Accountant maintains the highest standards of integrity, objectivity, and professional behavior required in the dynamic financial landscape of Mexico's capital.</w:t>
      </w:r>
    </w:p>
    <w:p>
      <w:pPr>
        <w:pStyle w:val="BodyText"/>
      </w:pPr>
      <w:r>
        <w:t xml:space="preserve">The findings indicate that the Accountant demonstrates a robust understanding of local fiscal laws and international financial reporting standards. However, specific areas regarding digital transformation and continuous professional development have been identified for improvement to align with the evolving demands of the Mexico City market.</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Accountant's recent work products, client engagement files, and adherence to ethical guidelines. The methodology included:</w:t>
      </w:r>
    </w:p>
    <w:p>
      <w:pPr>
        <w:numPr>
          <w:ilvl w:val="0"/>
          <w:numId w:val="1001"/>
        </w:numPr>
        <w:pStyle w:val="Compact"/>
      </w:pPr>
      <w:r>
        <w:t xml:space="preserve">A detailed examination of tax filings submitted to the SAT for the fiscal years 2021 and 2022.</w:t>
      </w:r>
    </w:p>
    <w:p>
      <w:pPr>
        <w:numPr>
          <w:ilvl w:val="0"/>
          <w:numId w:val="1001"/>
        </w:numPr>
        <w:pStyle w:val="Compact"/>
      </w:pPr>
      <w:r>
        <w:t xml:space="preserve">Review of financial statements prepared for clients based in Mexico City, ensuring compliance with Mexican Financial Reporting Standards (NIF).</w:t>
      </w:r>
    </w:p>
    <w:p>
      <w:pPr>
        <w:numPr>
          <w:ilvl w:val="0"/>
          <w:numId w:val="1001"/>
        </w:numPr>
        <w:pStyle w:val="Compact"/>
      </w:pPr>
      <w:r>
        <w:t xml:space="preserve">Interviews with key stakeholders and clients to assess service quality and communication effectiveness.</w:t>
      </w:r>
    </w:p>
    <w:p>
      <w:pPr>
        <w:numPr>
          <w:ilvl w:val="0"/>
          <w:numId w:val="1001"/>
        </w:numPr>
        <w:pStyle w:val="Compact"/>
      </w:pPr>
      <w:r>
        <w:t xml:space="preserve">Verification of the Accountant's continuing education credits and professional certifications.</w:t>
      </w:r>
    </w:p>
    <w:p>
      <w:pPr>
        <w:pStyle w:val="FirstParagraph"/>
      </w:pPr>
      <w:r>
        <w:t xml:space="preserve">Special attention was paid to the complexities of operating in Mexico City, including local municipal taxes and specific regulatory requirements for businesses in the metropolitan area.</w:t>
      </w:r>
    </w:p>
    <w:bookmarkEnd w:id="22"/>
    <w:bookmarkStart w:id="23" w:name="Xa23489420e66cd3fde9d0e36f97afd2c34bd065"/>
    <w:p>
      <w:pPr>
        <w:pStyle w:val="Heading2"/>
      </w:pPr>
      <w:r>
        <w:t xml:space="preserve">3. Technical Competence and Regulatory Compliance</w:t>
      </w:r>
    </w:p>
    <w:p>
      <w:pPr>
        <w:pStyle w:val="FirstParagraph"/>
      </w:pPr>
      <w:r>
        <w:t xml:space="preserve">The Accountant has demonstrated a high level of technical proficiency in applying the Mexican Financial Reporting Standards (NIF). The financial statements reviewed were accurate, complete, and presented in a manner that faithfully represents the financial position of the entities involved. The Accountant's ability to navigate the intricate tax code of Mexico, particularly regarding Value Added Tax (IVA) and Corporate Income Tax (ISR), was evident in the precision of the filings analyzed.</w:t>
      </w:r>
    </w:p>
    <w:p>
      <w:pPr>
        <w:pStyle w:val="BodyText"/>
      </w:pPr>
      <w:r>
        <w:t xml:space="preserve">Furthermore, the Accountant's compliance with the SAT's electronic invoicing requirements (CFDI) was exemplary. The review found no instances of non-compliance or errors in the digital submission of fiscal documents, which is critical for maintaining good standing with Mexican tax authorities. The Accountant also showed a strong grasp of the legal requirements for businesses operating in Mexico City, including adherence to local labor laws and social security contributions.</w:t>
      </w:r>
    </w:p>
    <w:bookmarkEnd w:id="23"/>
    <w:bookmarkStart w:id="24" w:name="X4ce211acb8b02978b825403f312638d11fa1afd"/>
    <w:p>
      <w:pPr>
        <w:pStyle w:val="Heading2"/>
      </w:pPr>
      <w:r>
        <w:t xml:space="preserve">4. Ethical Standards and Professional Conduct</w:t>
      </w:r>
    </w:p>
    <w:p>
      <w:pPr>
        <w:pStyle w:val="FirstParagraph"/>
      </w:pPr>
      <w:r>
        <w:t xml:space="preserve">Integrity and objectivity are paramount for any Accountant, especially in a major financial hub like Mexico City. This Peer Review Report confirms that the subject Accountant adheres strictly to the Code of Ethics established by the IMCP. There were no findings of conflicts of interest, breaches of confidentiality, or unethical behavior during the review period.</w:t>
      </w:r>
    </w:p>
    <w:p>
      <w:pPr>
        <w:pStyle w:val="BodyText"/>
      </w:pPr>
      <w:r>
        <w:t xml:space="preserve">The Accountant maintains clear boundaries with clients and ensures that all professional judgments are made independently and without undue influence. The review also highlighted the Accountant's commitment to transparency in all financial communications, fostering trust and reliability among clients and regulatory bodies alike.</w:t>
      </w:r>
    </w:p>
    <w:bookmarkEnd w:id="24"/>
    <w:bookmarkStart w:id="25" w:name="areas-for-improvement"/>
    <w:p>
      <w:pPr>
        <w:pStyle w:val="Heading2"/>
      </w:pPr>
      <w:r>
        <w:t xml:space="preserve">5. Areas for Improvement</w:t>
      </w:r>
    </w:p>
    <w:p>
      <w:pPr>
        <w:pStyle w:val="FirstParagraph"/>
      </w:pPr>
      <w:r>
        <w:t xml:space="preserve">While the Accountant's performance is largely commendable, this Peer Review Report identifies several areas where enhancement is recommended:</w:t>
      </w:r>
    </w:p>
    <w:p>
      <w:pPr>
        <w:numPr>
          <w:ilvl w:val="0"/>
          <w:numId w:val="1002"/>
        </w:numPr>
        <w:pStyle w:val="Compact"/>
      </w:pPr>
      <w:r>
        <w:rPr>
          <w:bCs/>
          <w:b/>
        </w:rPr>
        <w:t xml:space="preserve">Digital Transformation:</w:t>
      </w:r>
      <w:r>
        <w:t xml:space="preserve"> </w:t>
      </w:r>
      <w:r>
        <w:t xml:space="preserve">The Accountant should further integrate advanced accounting software and data analytics tools to improve efficiency and provide deeper insights to clients. The Mexico City market is rapidly adopting digital solutions, and staying ahead of this trend is essential.</w:t>
      </w:r>
    </w:p>
    <w:p>
      <w:pPr>
        <w:numPr>
          <w:ilvl w:val="0"/>
          <w:numId w:val="1002"/>
        </w:numPr>
        <w:pStyle w:val="Compact"/>
      </w:pPr>
      <w:r>
        <w:rPr>
          <w:bCs/>
          <w:b/>
        </w:rPr>
        <w:t xml:space="preserve">International Standards:</w:t>
      </w:r>
      <w:r>
        <w:t xml:space="preserve"> </w:t>
      </w:r>
      <w:r>
        <w:t xml:space="preserve">Given the global nature of many businesses in Mexico City, the Accountant is encouraged to deepen their knowledge of International Financial Reporting Standards (IFRS) to better serve multinational clients.</w:t>
      </w:r>
    </w:p>
    <w:p>
      <w:pPr>
        <w:numPr>
          <w:ilvl w:val="0"/>
          <w:numId w:val="1002"/>
        </w:numPr>
        <w:pStyle w:val="Compact"/>
      </w:pPr>
      <w:r>
        <w:rPr>
          <w:bCs/>
          <w:b/>
        </w:rPr>
        <w:t xml:space="preserve">Continuous Professional Development:</w:t>
      </w:r>
      <w:r>
        <w:t xml:space="preserve"> </w:t>
      </w:r>
      <w:r>
        <w:t xml:space="preserve">The Accountant should prioritize ongoing education in emerging areas such as cryptocurrency taxation and environmental, social, and governance (ESG) reporting, which are becoming increasingly relevant in Mexico.</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Accountant is a competent and ethical professional who meets the rigorous standards required to practice in Mexico City. The Accountant's strong technical skills, regulatory compliance, and adherence to ethical principles make them a valuable asset to their clients and the broader accounting community.</w:t>
      </w:r>
    </w:p>
    <w:p>
      <w:pPr>
        <w:pStyle w:val="BodyText"/>
      </w:pPr>
      <w:r>
        <w:t xml:space="preserve">It is recommended that the Accountant address the identified areas for improvement to further enhance their professional capabilities. By embracing digital innovation and expanding their knowledge of international standards, the Accountant will be well-positioned to thrive in the competitive and evolving financial environment of Mexico City. This report serves as both a validation of current performance and a roadmap for future professional growth.</w:t>
      </w:r>
    </w:p>
    <w:bookmarkEnd w:id="26"/>
    <w:p>
      <w:pPr>
        <w:pStyle w:val="BodyText"/>
      </w:pPr>
      <w:r>
        <w:rPr>
          <w:bCs/>
          <w:b/>
        </w:rPr>
        <w:t xml:space="preserve">Prepared by:</w:t>
      </w:r>
    </w:p>
    <w:p>
      <w:pPr>
        <w:pStyle w:val="BodyText"/>
      </w:pPr>
      <w:r>
        <w:t xml:space="preserve">__________________________</w:t>
      </w:r>
    </w:p>
    <w:p>
      <w:pPr>
        <w:pStyle w:val="BodyText"/>
      </w:pPr>
      <w:r>
        <w:t xml:space="preserve">Lead Reviewer</w:t>
      </w:r>
    </w:p>
    <w:p>
      <w:pPr>
        <w:pStyle w:val="BodyText"/>
      </w:pPr>
      <w:r>
        <w:t xml:space="preserve">Independent Professional Standards Committee</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Mexico City</dc:title>
  <dc:creator/>
  <dc:language>en</dc:language>
  <cp:keywords/>
  <dcterms:created xsi:type="dcterms:W3CDTF">2026-10-10T07:36:56Z</dcterms:created>
  <dcterms:modified xsi:type="dcterms:W3CDTF">2026-10-10T07:36:56Z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