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Accounting</w:t>
      </w:r>
      <w:r>
        <w:t xml:space="preserve"> </w:t>
      </w:r>
      <w:r>
        <w:t xml:space="preserve">Practices</w:t>
      </w:r>
      <w:r>
        <w:t xml:space="preserve"> </w:t>
      </w:r>
      <w:r>
        <w:t xml:space="preserve">in</w:t>
      </w:r>
      <w:r>
        <w:t xml:space="preserve"> </w:t>
      </w:r>
      <w:r>
        <w:t xml:space="preserve">Casablanca,</w:t>
      </w:r>
      <w:r>
        <w:t xml:space="preserve"> </w:t>
      </w:r>
      <w:r>
        <w:t xml:space="preserve">Morocco</w:t>
      </w:r>
    </w:p>
    <w:bookmarkStart w:id="20" w:name="peer-review-report"/>
    <w:p>
      <w:pPr>
        <w:pStyle w:val="Heading1"/>
      </w:pPr>
      <w:r>
        <w:t xml:space="preserve">Peer Review Report</w:t>
      </w:r>
    </w:p>
    <w:p>
      <w:pPr>
        <w:pStyle w:val="FirstParagraph"/>
      </w:pPr>
      <w:r>
        <w:t xml:space="preserve">Independent Assessment of Accounting Quality and Compliance</w:t>
      </w:r>
    </w:p>
    <w:bookmarkEnd w:id="20"/>
    <w:p>
      <w:pPr>
        <w:pStyle w:val="BodyText"/>
      </w:pPr>
      <w:r>
        <w:t xml:space="preserve">Report Reference:</w:t>
      </w:r>
      <w:r>
        <w:t xml:space="preserve"> </w:t>
      </w:r>
      <w:r>
        <w:t xml:space="preserve">PR-2023-CAS-089</w:t>
      </w:r>
    </w:p>
    <w:p>
      <w:pPr>
        <w:pStyle w:val="BodyText"/>
      </w:pPr>
      <w:r>
        <w:t xml:space="preserve">Date of Issue:</w:t>
      </w:r>
      <w:r>
        <w:t xml:space="preserve"> </w:t>
      </w:r>
      <w:r>
        <w:t xml:space="preserve">October 24, 2023</w:t>
      </w:r>
    </w:p>
    <w:p>
      <w:pPr>
        <w:pStyle w:val="BodyText"/>
      </w:pPr>
      <w:r>
        <w:t xml:space="preserve">Jurisdiction:</w:t>
      </w:r>
      <w:r>
        <w:t xml:space="preserve"> </w:t>
      </w:r>
      <w:r>
        <w:t xml:space="preserve">Morocco, Casablanca</w:t>
      </w:r>
    </w:p>
    <w:p>
      <w:pPr>
        <w:pStyle w:val="BodyText"/>
      </w:pPr>
      <w:r>
        <w:t xml:space="preserve">Regulatory Body:</w:t>
      </w:r>
      <w:r>
        <w:t xml:space="preserve"> </w:t>
      </w:r>
      <w:r>
        <w:t xml:space="preserve">Ordre des Experts-Comptables du Maroc (OECM)</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details the findings of an independent quality assurance assessment conducted on the professional practice of a certified</w:t>
      </w:r>
      <w:r>
        <w:t xml:space="preserve"> </w:t>
      </w:r>
      <w:r>
        <w:rPr>
          <w:bCs/>
          <w:b/>
        </w:rPr>
        <w:t xml:space="preserve">Accountant</w:t>
      </w:r>
      <w:r>
        <w:t xml:space="preserve"> </w:t>
      </w:r>
      <w:r>
        <w:t xml:space="preserve">operating within the economic hub of</w:t>
      </w:r>
      <w:r>
        <w:t xml:space="preserve"> </w:t>
      </w:r>
      <w:r>
        <w:rPr>
          <w:bCs/>
          <w:b/>
        </w:rPr>
        <w:t xml:space="preserve">Morocco Casablanca</w:t>
      </w:r>
      <w:r>
        <w:t xml:space="preserve">. The primary objective of this review was to evaluate the firm's adherence to International Standards on Auditing (ISA), the Moroccan General Accounting Plan (PCG), and the ethical guidelines mandated by the OECM.</w:t>
      </w:r>
    </w:p>
    <w:p>
      <w:pPr>
        <w:pStyle w:val="BodyText"/>
      </w:pPr>
      <w:r>
        <w:t xml:space="preserve">Casablanca, as the financial capital of Morocco, hosts a complex business environment characterized by multinational corporations, diverse trade activities, and evolving regulatory frameworks. Consequently, the role of the</w:t>
      </w:r>
      <w:r>
        <w:t xml:space="preserve"> </w:t>
      </w:r>
      <w:r>
        <w:rPr>
          <w:bCs/>
          <w:b/>
        </w:rPr>
        <w:t xml:space="preserve">Accountant</w:t>
      </w:r>
      <w:r>
        <w:t xml:space="preserve"> </w:t>
      </w:r>
      <w:r>
        <w:t xml:space="preserve">in this region requires not only technical proficiency but also a deep understanding of local fiscal laws and international reporting standards. This report confirms that the reviewed practice generally maintains high standards of quality, though specific areas regarding digital transformation and internal control documentation require attention.</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encompassed a comprehensive examination of the</w:t>
      </w:r>
      <w:r>
        <w:t xml:space="preserve"> </w:t>
      </w:r>
      <w:r>
        <w:rPr>
          <w:bCs/>
          <w:b/>
        </w:rPr>
        <w:t xml:space="preserve">Accountant</w:t>
      </w:r>
      <w:r>
        <w:t xml:space="preserve">'s quality control system, specifically focusing on engagements performed during the fiscal year 2022. The review team selected a sample of five audit files and three tax advisory files from clients based in the Casablanca-Settat region.</w:t>
      </w:r>
    </w:p>
    <w:p>
      <w:pPr>
        <w:pStyle w:val="BodyText"/>
      </w:pPr>
      <w:r>
        <w:t xml:space="preserve">The methodology involved:</w:t>
      </w:r>
    </w:p>
    <w:p>
      <w:pPr>
        <w:numPr>
          <w:ilvl w:val="0"/>
          <w:numId w:val="1001"/>
        </w:numPr>
        <w:pStyle w:val="Compact"/>
      </w:pPr>
      <w:r>
        <w:t xml:space="preserve">Interviewing the lead</w:t>
      </w:r>
      <w:r>
        <w:t xml:space="preserve"> </w:t>
      </w:r>
      <w:r>
        <w:rPr>
          <w:bCs/>
          <w:b/>
        </w:rPr>
        <w:t xml:space="preserve">Accountant</w:t>
      </w:r>
      <w:r>
        <w:t xml:space="preserve"> </w:t>
      </w:r>
      <w:r>
        <w:t xml:space="preserve">and key staff members regarding their understanding of professional responsibilities.</w:t>
      </w:r>
    </w:p>
    <w:p>
      <w:pPr>
        <w:numPr>
          <w:ilvl w:val="0"/>
          <w:numId w:val="1001"/>
        </w:numPr>
        <w:pStyle w:val="Compact"/>
      </w:pPr>
      <w:r>
        <w:t xml:space="preserve">Inspecting working papers to verify compliance with the Moroccan General Accounting Plan (PCG).</w:t>
      </w:r>
    </w:p>
    <w:p>
      <w:pPr>
        <w:numPr>
          <w:ilvl w:val="0"/>
          <w:numId w:val="1001"/>
        </w:numPr>
        <w:pStyle w:val="Compact"/>
      </w:pPr>
      <w:r>
        <w:t xml:space="preserve">Assessing the firm's independence and ethical compliance in accordance with the Code of Ethics for professional accountants in Morocco.</w:t>
      </w:r>
    </w:p>
    <w:p>
      <w:pPr>
        <w:numPr>
          <w:ilvl w:val="0"/>
          <w:numId w:val="1001"/>
        </w:numPr>
        <w:pStyle w:val="Compact"/>
      </w:pPr>
      <w:r>
        <w:t xml:space="preserve">Evaluating the adequacy of risk assessment procedures applied to clients operating in the competitive market of</w:t>
      </w:r>
      <w:r>
        <w:t xml:space="preserve"> </w:t>
      </w:r>
      <w:r>
        <w:rPr>
          <w:bCs/>
          <w:b/>
        </w:rPr>
        <w:t xml:space="preserve">Morocco Casablanca</w:t>
      </w:r>
      <w:r>
        <w:t xml:space="preserve">.</w:t>
      </w:r>
    </w:p>
    <w:bookmarkEnd w:id="22"/>
    <w:bookmarkStart w:id="23" w:name="assessment-of-professional-competence"/>
    <w:p>
      <w:pPr>
        <w:pStyle w:val="Heading2"/>
      </w:pPr>
      <w:r>
        <w:t xml:space="preserve">3. Assessment of Professional Competence</w:t>
      </w:r>
    </w:p>
    <w:p>
      <w:pPr>
        <w:pStyle w:val="FirstParagraph"/>
      </w:pPr>
      <w:r>
        <w:t xml:space="preserve">A critical component of this</w:t>
      </w:r>
      <w:r>
        <w:t xml:space="preserve"> </w:t>
      </w:r>
      <w:r>
        <w:rPr>
          <w:bCs/>
          <w:b/>
        </w:rPr>
        <w:t xml:space="preserve">Peer Review Report</w:t>
      </w:r>
      <w:r>
        <w:t xml:space="preserve"> </w:t>
      </w:r>
      <w:r>
        <w:t xml:space="preserve">is the evaluation of the technical competence of the</w:t>
      </w:r>
      <w:r>
        <w:t xml:space="preserve"> </w:t>
      </w:r>
      <w:r>
        <w:rPr>
          <w:bCs/>
          <w:b/>
        </w:rPr>
        <w:t xml:space="preserve">Accountant</w:t>
      </w:r>
      <w:r>
        <w:t xml:space="preserve">. The review found that the firm demonstrates a robust understanding of the specific accounting requirements applicable in</w:t>
      </w:r>
      <w:r>
        <w:t xml:space="preserve"> </w:t>
      </w:r>
      <w:r>
        <w:rPr>
          <w:bCs/>
          <w:b/>
        </w:rPr>
        <w:t xml:space="preserve">Morocco Casablanca</w:t>
      </w:r>
      <w:r>
        <w:t xml:space="preserve">. The team effectively navigates the complexities of the Moroccan tax code, including Corporate Income Tax (IS), Value Added Tax (TVA), and the recent digitalization of tax filing systems.</w:t>
      </w:r>
    </w:p>
    <w:p>
      <w:pPr>
        <w:pStyle w:val="BodyText"/>
      </w:pPr>
      <w:r>
        <w:t xml:space="preserve">The</w:t>
      </w:r>
      <w:r>
        <w:t xml:space="preserve"> </w:t>
      </w:r>
      <w:r>
        <w:rPr>
          <w:bCs/>
          <w:b/>
        </w:rPr>
        <w:t xml:space="preserve">Accountant</w:t>
      </w:r>
      <w:r>
        <w:t xml:space="preserve"> </w:t>
      </w:r>
      <w:r>
        <w:t xml:space="preserve">was observed to be well-versed in the application of IFRS for entities that are part of international groups, a common scenario for businesses headquartered in Casablanca. However, the review noted that while the senior staff is highly competent, there is a need for enhanced continuous professional development (CPD) for junior staff regarding the latest amendments to the Moroccan Commercial Code.</w:t>
      </w:r>
    </w:p>
    <w:bookmarkEnd w:id="23"/>
    <w:bookmarkStart w:id="24" w:name="quality-control-and-internal-procedures"/>
    <w:p>
      <w:pPr>
        <w:pStyle w:val="Heading2"/>
      </w:pPr>
      <w:r>
        <w:t xml:space="preserve">4. Quality Control and Internal Procedures</w:t>
      </w:r>
    </w:p>
    <w:p>
      <w:pPr>
        <w:pStyle w:val="FirstParagraph"/>
      </w:pPr>
      <w:r>
        <w:t xml:space="preserve">The quality control system of the</w:t>
      </w:r>
      <w:r>
        <w:t xml:space="preserve"> </w:t>
      </w:r>
      <w:r>
        <w:rPr>
          <w:bCs/>
          <w:b/>
        </w:rPr>
        <w:t xml:space="preserve">Accountant</w:t>
      </w:r>
      <w:r>
        <w:t xml:space="preserve"> </w:t>
      </w:r>
      <w:r>
        <w:t xml:space="preserve">was reviewed against the standards set by the OECM. The firm has established clear policies for client acceptance, engagement performance, and monitoring. In the context of</w:t>
      </w:r>
      <w:r>
        <w:t xml:space="preserve"> </w:t>
      </w:r>
      <w:r>
        <w:rPr>
          <w:bCs/>
          <w:b/>
        </w:rPr>
        <w:t xml:space="preserve">Morocco Casablanca</w:t>
      </w:r>
      <w:r>
        <w:t xml:space="preserve">, where business relationships can be informal, the firm's strict adherence to formal client acceptance procedures is a significant strength.</w:t>
      </w:r>
    </w:p>
    <w:p>
      <w:pPr>
        <w:pStyle w:val="BodyText"/>
      </w:pPr>
      <w:r>
        <w:t xml:space="preserve">However, this</w:t>
      </w:r>
      <w:r>
        <w:t xml:space="preserve"> </w:t>
      </w:r>
      <w:r>
        <w:rPr>
          <w:bCs/>
          <w:b/>
        </w:rPr>
        <w:t xml:space="preserve">Peer Review Report</w:t>
      </w:r>
      <w:r>
        <w:t xml:space="preserve"> </w:t>
      </w:r>
      <w:r>
        <w:t xml:space="preserve">identifies a gap in the documentation of internal review processes. While the final reports are accurate, the working papers occasionally lack detailed evidence of the supervisory review steps taken by the lead</w:t>
      </w:r>
      <w:r>
        <w:t xml:space="preserve"> </w:t>
      </w:r>
      <w:r>
        <w:rPr>
          <w:bCs/>
          <w:b/>
        </w:rPr>
        <w:t xml:space="preserve">Accountant</w:t>
      </w:r>
      <w:r>
        <w:t xml:space="preserve">. To align with best practices, the firm should implement a more rigorous sign-off protocol for all engagement files.</w:t>
      </w:r>
    </w:p>
    <w:bookmarkEnd w:id="24"/>
    <w:bookmarkStart w:id="25" w:name="ethical-compliance-and-independence"/>
    <w:p>
      <w:pPr>
        <w:pStyle w:val="Heading2"/>
      </w:pPr>
      <w:r>
        <w:t xml:space="preserve">5. Ethical Compliance and Independence</w:t>
      </w:r>
    </w:p>
    <w:p>
      <w:pPr>
        <w:pStyle w:val="FirstParagraph"/>
      </w:pPr>
      <w:r>
        <w:t xml:space="preserve">Ethical integrity is paramount for any</w:t>
      </w:r>
      <w:r>
        <w:t xml:space="preserve"> </w:t>
      </w:r>
      <w:r>
        <w:rPr>
          <w:bCs/>
          <w:b/>
        </w:rPr>
        <w:t xml:space="preserve">Accountant</w:t>
      </w:r>
      <w:r>
        <w:t xml:space="preserve"> </w:t>
      </w:r>
      <w:r>
        <w:t xml:space="preserve">practicing in</w:t>
      </w:r>
      <w:r>
        <w:t xml:space="preserve"> </w:t>
      </w:r>
      <w:r>
        <w:rPr>
          <w:bCs/>
          <w:b/>
        </w:rPr>
        <w:t xml:space="preserve">Morocco Casablanca</w:t>
      </w:r>
      <w:r>
        <w:t xml:space="preserve">. This</w:t>
      </w:r>
      <w:r>
        <w:t xml:space="preserve"> </w:t>
      </w:r>
      <w:r>
        <w:rPr>
          <w:bCs/>
          <w:b/>
        </w:rPr>
        <w:t xml:space="preserve">Peer Review Report</w:t>
      </w:r>
      <w:r>
        <w:t xml:space="preserve"> </w:t>
      </w:r>
      <w:r>
        <w:t xml:space="preserve">confirms that the firm maintains a strong culture of independence. The review team examined the firm's conflict of interest checks and found them to be adequate. The</w:t>
      </w:r>
      <w:r>
        <w:t xml:space="preserve"> </w:t>
      </w:r>
      <w:r>
        <w:rPr>
          <w:bCs/>
          <w:b/>
        </w:rPr>
        <w:t xml:space="preserve">Accountant</w:t>
      </w:r>
      <w:r>
        <w:t xml:space="preserve"> </w:t>
      </w:r>
      <w:r>
        <w:t xml:space="preserve">successfully manages potential threats to independence, particularly in a market where long-standing client relationships are common.</w:t>
      </w:r>
    </w:p>
    <w:p>
      <w:pPr>
        <w:pStyle w:val="BodyText"/>
      </w:pPr>
      <w:r>
        <w:t xml:space="preserve">The firm also complies with data protection regulations, ensuring that sensitive financial data of clients in Casablanca is stored securely, which is increasingly important given the rise in cyber threats targeting financial institutions in the region.</w:t>
      </w:r>
    </w:p>
    <w:bookmarkEnd w:id="25"/>
    <w:bookmarkStart w:id="26"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following recommendations are made to the</w:t>
      </w:r>
      <w:r>
        <w:t xml:space="preserve"> </w:t>
      </w:r>
      <w:r>
        <w:rPr>
          <w:bCs/>
          <w:b/>
        </w:rPr>
        <w:t xml:space="preserve">Accountant</w:t>
      </w:r>
      <w:r>
        <w:t xml:space="preserve"> </w:t>
      </w:r>
      <w:r>
        <w:t xml:space="preserve">to further enhance the quality of their practice in</w:t>
      </w:r>
      <w:r>
        <w:t xml:space="preserve"> </w:t>
      </w:r>
      <w:r>
        <w:rPr>
          <w:bCs/>
          <w:b/>
        </w:rPr>
        <w:t xml:space="preserve">Morocco Casablanca</w:t>
      </w:r>
      <w:r>
        <w:t xml:space="preserve">:</w:t>
      </w:r>
    </w:p>
    <w:p>
      <w:pPr>
        <w:numPr>
          <w:ilvl w:val="0"/>
          <w:numId w:val="1002"/>
        </w:numPr>
        <w:pStyle w:val="Compact"/>
      </w:pPr>
      <w:r>
        <w:rPr>
          <w:bCs/>
          <w:b/>
        </w:rPr>
        <w:t xml:space="preserve">Enhance Documentation:</w:t>
      </w:r>
      <w:r>
        <w:t xml:space="preserve"> </w:t>
      </w:r>
      <w:r>
        <w:t xml:space="preserve">Improve the detail level of working papers to provide a clearer audit trail, ensuring that all conclusions are fully supported by evidence.</w:t>
      </w:r>
    </w:p>
    <w:p>
      <w:pPr>
        <w:numPr>
          <w:ilvl w:val="0"/>
          <w:numId w:val="1002"/>
        </w:numPr>
        <w:pStyle w:val="Compact"/>
      </w:pPr>
      <w:r>
        <w:rPr>
          <w:bCs/>
          <w:b/>
        </w:rPr>
        <w:t xml:space="preserve">Technology Integration:</w:t>
      </w:r>
      <w:r>
        <w:t xml:space="preserve"> </w:t>
      </w:r>
      <w:r>
        <w:t xml:space="preserve">Invest in advanced accounting software that integrates with the Moroccan tax authority's digital platforms to improve efficiency and accuracy.</w:t>
      </w:r>
    </w:p>
    <w:p>
      <w:pPr>
        <w:numPr>
          <w:ilvl w:val="0"/>
          <w:numId w:val="1002"/>
        </w:numPr>
        <w:pStyle w:val="Compact"/>
      </w:pPr>
      <w:r>
        <w:rPr>
          <w:bCs/>
          <w:b/>
        </w:rPr>
        <w:t xml:space="preserve">Staff Training:</w:t>
      </w:r>
      <w:r>
        <w:t xml:space="preserve"> </w:t>
      </w:r>
      <w:r>
        <w:t xml:space="preserve">Implement a structured training program for junior staff focusing on the nuances of the Moroccan General Accounting Plan and international auditing standards.</w:t>
      </w:r>
    </w:p>
    <w:p>
      <w:pPr>
        <w:numPr>
          <w:ilvl w:val="0"/>
          <w:numId w:val="1002"/>
        </w:numPr>
        <w:pStyle w:val="Compact"/>
      </w:pPr>
      <w:r>
        <w:rPr>
          <w:bCs/>
          <w:b/>
        </w:rPr>
        <w:t xml:space="preserve">Risk Management:</w:t>
      </w:r>
      <w:r>
        <w:t xml:space="preserve"> </w:t>
      </w:r>
      <w:r>
        <w:t xml:space="preserve">Develop more specific risk assessment templates tailored to the industries prevalent in Casablanca, such as logistics, banking, and manufacturing.</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reviewed</w:t>
      </w:r>
      <w:r>
        <w:t xml:space="preserve"> </w:t>
      </w:r>
      <w:r>
        <w:rPr>
          <w:bCs/>
          <w:b/>
        </w:rPr>
        <w:t xml:space="preserve">Accountant</w:t>
      </w:r>
      <w:r>
        <w:t xml:space="preserve"> </w:t>
      </w:r>
      <w:r>
        <w:t xml:space="preserve">operates a practice of good quality within the jurisdiction of</w:t>
      </w:r>
      <w:r>
        <w:t xml:space="preserve"> </w:t>
      </w:r>
      <w:r>
        <w:rPr>
          <w:bCs/>
          <w:b/>
        </w:rPr>
        <w:t xml:space="preserve">Morocco Casablanca</w:t>
      </w:r>
      <w:r>
        <w:t xml:space="preserve">. The firm demonstrates a strong commitment to professional standards, ethical behavior, and technical competence. By addressing the recommendations outlined above, particularly regarding documentation and technology, the firm will be well-positioned to meet the evolving demands of the Moroccan market and maintain the trust of its stakeholders.</w:t>
      </w:r>
    </w:p>
    <w:p>
      <w:pPr>
        <w:pStyle w:val="BodyText"/>
      </w:pPr>
      <w:r>
        <w:rPr>
          <w:bCs/>
          <w:b/>
        </w:rPr>
        <w:t xml:space="preserve">Reviewed By:</w:t>
      </w:r>
    </w:p>
    <w:p>
      <w:pPr>
        <w:pStyle w:val="BodyText"/>
      </w:pPr>
      <w:r>
        <w:t xml:space="preserve">Dr. Ahmed Benali</w:t>
      </w:r>
    </w:p>
    <w:p>
      <w:pPr>
        <w:pStyle w:val="BodyText"/>
      </w:pPr>
      <w:r>
        <w:t xml:space="preserve">Senior Peer Reviewer</w:t>
      </w:r>
    </w:p>
    <w:p>
      <w:pPr>
        <w:pStyle w:val="BodyText"/>
      </w:pPr>
      <w:r>
        <w:t xml:space="preserve">Ordre des Experts-Comptables du Maroc</w:t>
      </w:r>
    </w:p>
    <w:p>
      <w:pPr>
        <w:pStyle w:val="BodyText"/>
      </w:pPr>
      <w:r>
        <w:rPr>
          <w:bCs/>
          <w:b/>
        </w:rPr>
        <w:t xml:space="preserve">Accepted By:</w:t>
      </w:r>
    </w:p>
    <w:p>
      <w:pPr>
        <w:pStyle w:val="BodyText"/>
      </w:pPr>
      <w:r>
        <w:t xml:space="preserve">[Name of Accountant]</w:t>
      </w:r>
    </w:p>
    <w:p>
      <w:pPr>
        <w:pStyle w:val="BodyText"/>
      </w:pPr>
      <w:r>
        <w:t xml:space="preserve">Managing Partner</w:t>
      </w:r>
    </w:p>
    <w:p>
      <w:pPr>
        <w:pStyle w:val="BodyText"/>
      </w:pPr>
      <w:r>
        <w:t xml:space="preserve">[Firm Name], Casablanca</w:t>
      </w:r>
    </w:p>
    <w:p>
      <w:pPr>
        <w:pStyle w:val="BodyText"/>
      </w:pPr>
      <w:r>
        <w:t xml:space="preserve">This document is confidential and intended solely for the use of the addressee. It constitutes a formal Peer Review Report regarding the professional practice of an Accountant in Morocco Casablanca.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Accounting Practices in Casablanca, Morocco</dc:title>
  <dc:creator/>
  <dc:language>en</dc:language>
  <cp:keywords/>
  <dcterms:created xsi:type="dcterms:W3CDTF">2026-10-10T07:03:27Z</dcterms:created>
  <dcterms:modified xsi:type="dcterms:W3CDTF">2026-10-10T07:03:27Z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