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Accountant</w:t>
      </w:r>
      <w:r>
        <w:t xml:space="preserve"> </w:t>
      </w:r>
      <w:r>
        <w:t xml:space="preserve">-</w:t>
      </w:r>
      <w:r>
        <w:t xml:space="preserve"> </w:t>
      </w:r>
      <w:r>
        <w:t xml:space="preserve">Yangon,</w:t>
      </w:r>
      <w:r>
        <w:t xml:space="preserve"> </w:t>
      </w:r>
      <w:r>
        <w:t xml:space="preserve">Myanmar</w:t>
      </w:r>
    </w:p>
    <w:bookmarkStart w:id="28" w:name="peer-review-report"/>
    <w:p>
      <w:pPr>
        <w:pStyle w:val="Heading1"/>
      </w:pPr>
      <w:r>
        <w:t xml:space="preserve">Peer Review Report</w:t>
      </w:r>
    </w:p>
    <w:p>
      <w:pPr>
        <w:pStyle w:val="FirstParagraph"/>
      </w:pPr>
      <w:r>
        <w:t xml:space="preserve">Subject of Review</w:t>
      </w:r>
    </w:p>
    <w:p>
      <w:pPr>
        <w:pStyle w:val="BodyText"/>
      </w:pPr>
      <w:r>
        <w:t xml:space="preserve">Accountant Performance &amp; Compliance</w:t>
      </w:r>
    </w:p>
    <w:p>
      <w:pPr>
        <w:pStyle w:val="BodyText"/>
      </w:pPr>
      <w:r>
        <w:t xml:space="preserve">Location</w:t>
      </w:r>
    </w:p>
    <w:p>
      <w:pPr>
        <w:pStyle w:val="BodyText"/>
      </w:pPr>
      <w:r>
        <w:t xml:space="preserve">Yangon, Myanmar</w:t>
      </w:r>
    </w:p>
    <w:p>
      <w:pPr>
        <w:pStyle w:val="BodyText"/>
      </w:pPr>
      <w:r>
        <w:t xml:space="preserve">Review Period</w:t>
      </w:r>
    </w:p>
    <w:p>
      <w:pPr>
        <w:pStyle w:val="BodyText"/>
      </w:pPr>
      <w:r>
        <w:t xml:space="preserve">Fiscal Year 2023-2024</w:t>
      </w:r>
    </w:p>
    <w:p>
      <w:pPr>
        <w:pStyle w:val="BodyText"/>
      </w:pPr>
      <w:r>
        <w:t xml:space="preserve">Date of Report</w:t>
      </w:r>
    </w:p>
    <w:p>
      <w:pPr>
        <w:pStyle w:val="BodyText"/>
      </w:pPr>
      <w:r>
        <w:t xml:space="preserve">October 24, 2023</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professional competency, technical accuracy, and ethical adherence of the designated</w:t>
      </w:r>
      <w:r>
        <w:t xml:space="preserve"> </w:t>
      </w:r>
      <w:r>
        <w:rPr>
          <w:bCs/>
          <w:b/>
        </w:rPr>
        <w:t xml:space="preserve">Accountant</w:t>
      </w:r>
      <w:r>
        <w:t xml:space="preserve"> </w:t>
      </w:r>
      <w:r>
        <w:t xml:space="preserve">operating within the financial district of</w:t>
      </w:r>
      <w:r>
        <w:t xml:space="preserve"> </w:t>
      </w:r>
      <w:r>
        <w:rPr>
          <w:bCs/>
          <w:b/>
        </w:rPr>
        <w:t xml:space="preserve">Myanmar Yangon</w:t>
      </w:r>
      <w:r>
        <w:t xml:space="preserve">. The primary objective of this review is to ensure that the financial reporting processes align with the Myanmar Financial Reporting Standards (MFRS) and the specific regulatory requirements enforced by the Accounting Standards Board of Myanmar (ASBM).</w:t>
      </w:r>
    </w:p>
    <w:p>
      <w:pPr>
        <w:pStyle w:val="BodyText"/>
      </w:pPr>
      <w:r>
        <w:t xml:space="preserve">The review encompasses a comprehensive analysis of the</w:t>
      </w:r>
      <w:r>
        <w:t xml:space="preserve"> </w:t>
      </w:r>
      <w:r>
        <w:rPr>
          <w:bCs/>
          <w:b/>
        </w:rPr>
        <w:t xml:space="preserve">Accountant</w:t>
      </w:r>
      <w:r>
        <w:t xml:space="preserve">'s handling of general ledger maintenance, tax compliance under the Myanmar Income Tax Law, and the preparation of statutory financial statements. Given the dynamic economic environment in</w:t>
      </w:r>
      <w:r>
        <w:t xml:space="preserve"> </w:t>
      </w:r>
      <w:r>
        <w:rPr>
          <w:bCs/>
          <w:b/>
        </w:rPr>
        <w:t xml:space="preserve">Myanmar Yangon</w:t>
      </w:r>
      <w:r>
        <w:t xml:space="preserve">, this report also assesses the</w:t>
      </w:r>
      <w:r>
        <w:t xml:space="preserve"> </w:t>
      </w:r>
      <w:r>
        <w:rPr>
          <w:bCs/>
          <w:b/>
        </w:rPr>
        <w:t xml:space="preserve">Accountant</w:t>
      </w:r>
      <w:r>
        <w:t xml:space="preserve">'s ability to navigate currency fluctuations and regulatory changes effectively.</w:t>
      </w:r>
    </w:p>
    <w:bookmarkEnd w:id="20"/>
    <w:bookmarkStart w:id="21" w:name="scope-of-the-peer-review"/>
    <w:p>
      <w:pPr>
        <w:pStyle w:val="Heading2"/>
      </w:pPr>
      <w:r>
        <w:t xml:space="preserve">2. Scope of the Peer Review</w:t>
      </w:r>
    </w:p>
    <w:p>
      <w:pPr>
        <w:pStyle w:val="FirstParagraph"/>
      </w:pPr>
      <w:r>
        <w:t xml:space="preserve">The scope of this</w:t>
      </w:r>
      <w:r>
        <w:t xml:space="preserve"> </w:t>
      </w:r>
      <w:r>
        <w:rPr>
          <w:bCs/>
          <w:b/>
        </w:rPr>
        <w:t xml:space="preserve">Peer Review Report</w:t>
      </w:r>
      <w:r>
        <w:t xml:space="preserve"> </w:t>
      </w:r>
      <w:r>
        <w:t xml:space="preserve">is strictly defined to cover the following key areas relevant to the</w:t>
      </w:r>
      <w:r>
        <w:t xml:space="preserve"> </w:t>
      </w:r>
      <w:r>
        <w:rPr>
          <w:bCs/>
          <w:b/>
        </w:rPr>
        <w:t xml:space="preserve">Accountant</w:t>
      </w:r>
      <w:r>
        <w:t xml:space="preserve">'s role in</w:t>
      </w:r>
      <w:r>
        <w:t xml:space="preserve"> </w:t>
      </w:r>
      <w:r>
        <w:rPr>
          <w:bCs/>
          <w:b/>
        </w:rPr>
        <w:t xml:space="preserve">Myanmar Yangon</w:t>
      </w:r>
      <w:r>
        <w:t xml:space="preserve">:</w:t>
      </w:r>
    </w:p>
    <w:p>
      <w:pPr>
        <w:numPr>
          <w:ilvl w:val="0"/>
          <w:numId w:val="1001"/>
        </w:numPr>
        <w:pStyle w:val="Compact"/>
      </w:pPr>
      <w:r>
        <w:rPr>
          <w:bCs/>
          <w:b/>
        </w:rPr>
        <w:t xml:space="preserve">Technical Proficiency:</w:t>
      </w:r>
      <w:r>
        <w:t xml:space="preserve"> </w:t>
      </w:r>
      <w:r>
        <w:t xml:space="preserve">Assessment of the</w:t>
      </w:r>
      <w:r>
        <w:t xml:space="preserve"> </w:t>
      </w:r>
      <w:r>
        <w:rPr>
          <w:bCs/>
          <w:b/>
        </w:rPr>
        <w:t xml:space="preserve">Accountant</w:t>
      </w:r>
      <w:r>
        <w:t xml:space="preserve">'s application of MFRS and International Financial Reporting Standards (IFRS) as adopted in Myanmar.</w:t>
      </w:r>
    </w:p>
    <w:p>
      <w:pPr>
        <w:numPr>
          <w:ilvl w:val="0"/>
          <w:numId w:val="1001"/>
        </w:numPr>
        <w:pStyle w:val="Compact"/>
      </w:pPr>
      <w:r>
        <w:rPr>
          <w:bCs/>
          <w:b/>
        </w:rPr>
        <w:t xml:space="preserve">Tax Compliance:</w:t>
      </w:r>
      <w:r>
        <w:t xml:space="preserve"> </w:t>
      </w:r>
      <w:r>
        <w:t xml:space="preserve">Verification of the accuracy of withholding tax calculations, corporate income tax filings, and Value Added Tax (VAT) submissions required by the Yangon Regional Tax Department.</w:t>
      </w:r>
    </w:p>
    <w:p>
      <w:pPr>
        <w:numPr>
          <w:ilvl w:val="0"/>
          <w:numId w:val="1001"/>
        </w:numPr>
        <w:pStyle w:val="Compact"/>
      </w:pPr>
      <w:r>
        <w:rPr>
          <w:bCs/>
          <w:b/>
        </w:rPr>
        <w:t xml:space="preserve">Internal Controls:</w:t>
      </w:r>
      <w:r>
        <w:t xml:space="preserve"> </w:t>
      </w:r>
      <w:r>
        <w:t xml:space="preserve">Evaluation of the financial controls implemented by the</w:t>
      </w:r>
      <w:r>
        <w:t xml:space="preserve"> </w:t>
      </w:r>
      <w:r>
        <w:rPr>
          <w:bCs/>
          <w:b/>
        </w:rPr>
        <w:t xml:space="preserve">Accountant</w:t>
      </w:r>
      <w:r>
        <w:t xml:space="preserve"> </w:t>
      </w:r>
      <w:r>
        <w:t xml:space="preserve">to prevent fraud and ensure data integrity.</w:t>
      </w:r>
    </w:p>
    <w:p>
      <w:pPr>
        <w:numPr>
          <w:ilvl w:val="0"/>
          <w:numId w:val="1001"/>
        </w:numPr>
        <w:pStyle w:val="Compact"/>
      </w:pPr>
      <w:r>
        <w:rPr>
          <w:bCs/>
          <w:b/>
        </w:rPr>
        <w:t xml:space="preserve">Regulatory Adherence:</w:t>
      </w:r>
      <w:r>
        <w:t xml:space="preserve"> </w:t>
      </w:r>
      <w:r>
        <w:t xml:space="preserve">Review of compliance with the Myanmar Companies Act 2017 and local banking regulations prevalent in</w:t>
      </w:r>
      <w:r>
        <w:t xml:space="preserve"> </w:t>
      </w:r>
      <w:r>
        <w:rPr>
          <w:bCs/>
          <w:b/>
        </w:rPr>
        <w:t xml:space="preserve">Myanmar Yangon</w:t>
      </w:r>
      <w:r>
        <w:t xml:space="preserve">.</w:t>
      </w:r>
    </w:p>
    <w:bookmarkEnd w:id="21"/>
    <w:bookmarkStart w:id="25" w:name="detailed-findings"/>
    <w:p>
      <w:pPr>
        <w:pStyle w:val="Heading2"/>
      </w:pPr>
      <w:r>
        <w:t xml:space="preserve">3. Detailed Findings</w:t>
      </w:r>
    </w:p>
    <w:bookmarkStart w:id="22" w:name="financial-reporting-and-standards"/>
    <w:p>
      <w:pPr>
        <w:pStyle w:val="Heading3"/>
      </w:pPr>
      <w:r>
        <w:t xml:space="preserve">3.1 Financial Reporting and Standards</w:t>
      </w:r>
    </w:p>
    <w:p>
      <w:pPr>
        <w:pStyle w:val="FirstParagraph"/>
      </w:pPr>
      <w:r>
        <w:t xml:space="preserve">The</w:t>
      </w:r>
      <w:r>
        <w:t xml:space="preserve"> </w:t>
      </w:r>
      <w:r>
        <w:rPr>
          <w:bCs/>
          <w:b/>
        </w:rPr>
        <w:t xml:space="preserve">Accountant</w:t>
      </w:r>
      <w:r>
        <w:t xml:space="preserve"> </w:t>
      </w:r>
      <w:r>
        <w:t xml:space="preserve">has demonstrated a robust understanding of the financial reporting landscape in</w:t>
      </w:r>
      <w:r>
        <w:t xml:space="preserve"> </w:t>
      </w:r>
      <w:r>
        <w:rPr>
          <w:bCs/>
          <w:b/>
        </w:rPr>
        <w:t xml:space="preserve">Myanmar Yangon</w:t>
      </w:r>
      <w:r>
        <w:t xml:space="preserve">. The preparation of the balance sheet and profit and loss statements reflects a high degree of accuracy. Specifically, the</w:t>
      </w:r>
      <w:r>
        <w:t xml:space="preserve"> </w:t>
      </w:r>
      <w:r>
        <w:rPr>
          <w:bCs/>
          <w:b/>
        </w:rPr>
        <w:t xml:space="preserve">Accountant</w:t>
      </w:r>
      <w:r>
        <w:t xml:space="preserve"> </w:t>
      </w:r>
      <w:r>
        <w:t xml:space="preserve">correctly applied the standards regarding revenue recognition and lease accounting. However, the</w:t>
      </w:r>
      <w:r>
        <w:t xml:space="preserve"> </w:t>
      </w:r>
      <w:r>
        <w:rPr>
          <w:bCs/>
          <w:b/>
        </w:rPr>
        <w:t xml:space="preserve">Peer Review Report</w:t>
      </w:r>
      <w:r>
        <w:t xml:space="preserve"> </w:t>
      </w:r>
      <w:r>
        <w:t xml:space="preserve">notes that while the translation of financial statements from Myanmar Kyat (MMK) to foreign currencies is generally accurate, the documentation regarding the exchange rate sources used during periods of high volatility in</w:t>
      </w:r>
      <w:r>
        <w:t xml:space="preserve"> </w:t>
      </w:r>
      <w:r>
        <w:rPr>
          <w:bCs/>
          <w:b/>
        </w:rPr>
        <w:t xml:space="preserve">Myanmar Yangon</w:t>
      </w:r>
      <w:r>
        <w:t xml:space="preserve"> </w:t>
      </w:r>
      <w:r>
        <w:t xml:space="preserve">could be more rigorous.</w:t>
      </w:r>
    </w:p>
    <w:bookmarkEnd w:id="22"/>
    <w:bookmarkStart w:id="23" w:name="taxation-and-statutory-compliance"/>
    <w:p>
      <w:pPr>
        <w:pStyle w:val="Heading3"/>
      </w:pPr>
      <w:r>
        <w:t xml:space="preserve">3.2 Taxation and Statutory Compliance</w:t>
      </w:r>
    </w:p>
    <w:p>
      <w:pPr>
        <w:pStyle w:val="FirstParagraph"/>
      </w:pPr>
      <w:r>
        <w:t xml:space="preserve">A critical component of this</w:t>
      </w:r>
      <w:r>
        <w:t xml:space="preserve"> </w:t>
      </w:r>
      <w:r>
        <w:rPr>
          <w:bCs/>
          <w:b/>
        </w:rPr>
        <w:t xml:space="preserve">Peer Review Report</w:t>
      </w:r>
      <w:r>
        <w:t xml:space="preserve"> </w:t>
      </w:r>
      <w:r>
        <w:t xml:space="preserve">is the assessment of tax compliance. The</w:t>
      </w:r>
      <w:r>
        <w:t xml:space="preserve"> </w:t>
      </w:r>
      <w:r>
        <w:rPr>
          <w:bCs/>
          <w:b/>
        </w:rPr>
        <w:t xml:space="preserve">Accountant</w:t>
      </w:r>
      <w:r>
        <w:t xml:space="preserve"> </w:t>
      </w:r>
      <w:r>
        <w:t xml:space="preserve">has successfully managed the complex tax obligations associated with operating in</w:t>
      </w:r>
      <w:r>
        <w:t xml:space="preserve"> </w:t>
      </w:r>
      <w:r>
        <w:rPr>
          <w:bCs/>
          <w:b/>
        </w:rPr>
        <w:t xml:space="preserve">Myanmar Yangon</w:t>
      </w:r>
      <w:r>
        <w:t xml:space="preserve">. The review confirms that all withholding tax payments for employees and contractors were remitted on time. Furthermore, the</w:t>
      </w:r>
      <w:r>
        <w:t xml:space="preserve"> </w:t>
      </w:r>
      <w:r>
        <w:rPr>
          <w:bCs/>
          <w:b/>
        </w:rPr>
        <w:t xml:space="preserve">Accountant</w:t>
      </w:r>
      <w:r>
        <w:t xml:space="preserve"> </w:t>
      </w:r>
      <w:r>
        <w:t xml:space="preserve">demonstrated proficiency in navigating the digital tax filing systems introduced by the Myanmar government.</w:t>
      </w:r>
    </w:p>
    <w:p>
      <w:pPr>
        <w:pStyle w:val="BodyText"/>
      </w:pPr>
      <w:r>
        <w:t xml:space="preserve">However, the review identified a minor discrepancy in the depreciation schedules used for certain fixed assets. The</w:t>
      </w:r>
      <w:r>
        <w:t xml:space="preserve"> </w:t>
      </w:r>
      <w:r>
        <w:rPr>
          <w:bCs/>
          <w:b/>
        </w:rPr>
        <w:t xml:space="preserve">Accountant</w:t>
      </w:r>
      <w:r>
        <w:t xml:space="preserve"> </w:t>
      </w:r>
      <w:r>
        <w:t xml:space="preserve">utilized a depreciation rate that did not fully align with the latest guidelines issued by the tax authorities in Yangon. This has been flagged as a recommendation for immediate correction to avoid potential penalties during future audits.</w:t>
      </w:r>
    </w:p>
    <w:bookmarkEnd w:id="23"/>
    <w:bookmarkStart w:id="24" w:name="operational-efficiency-and-local-context"/>
    <w:p>
      <w:pPr>
        <w:pStyle w:val="Heading3"/>
      </w:pPr>
      <w:r>
        <w:t xml:space="preserve">3.3 Operational Efficiency and Local Context</w:t>
      </w:r>
    </w:p>
    <w:p>
      <w:pPr>
        <w:pStyle w:val="FirstParagraph"/>
      </w:pPr>
      <w:r>
        <w:t xml:space="preserve">Operating in</w:t>
      </w:r>
      <w:r>
        <w:t xml:space="preserve"> </w:t>
      </w:r>
      <w:r>
        <w:rPr>
          <w:bCs/>
          <w:b/>
        </w:rPr>
        <w:t xml:space="preserve">Myanmar Yangon</w:t>
      </w:r>
      <w:r>
        <w:t xml:space="preserve"> </w:t>
      </w:r>
      <w:r>
        <w:t xml:space="preserve">presents unique challenges, including infrastructure limitations and rapid regulatory shifts. This</w:t>
      </w:r>
      <w:r>
        <w:t xml:space="preserve"> </w:t>
      </w:r>
      <w:r>
        <w:rPr>
          <w:bCs/>
          <w:b/>
        </w:rPr>
        <w:t xml:space="preserve">Peer Review Report</w:t>
      </w:r>
      <w:r>
        <w:t xml:space="preserve"> </w:t>
      </w:r>
      <w:r>
        <w:t xml:space="preserve">commends the</w:t>
      </w:r>
      <w:r>
        <w:t xml:space="preserve"> </w:t>
      </w:r>
      <w:r>
        <w:rPr>
          <w:bCs/>
          <w:b/>
        </w:rPr>
        <w:t xml:space="preserve">Accountant</w:t>
      </w:r>
      <w:r>
        <w:t xml:space="preserve"> </w:t>
      </w:r>
      <w:r>
        <w:t xml:space="preserve">for their adaptability. The</w:t>
      </w:r>
      <w:r>
        <w:t xml:space="preserve"> </w:t>
      </w:r>
      <w:r>
        <w:rPr>
          <w:bCs/>
          <w:b/>
        </w:rPr>
        <w:t xml:space="preserve">Accountant</w:t>
      </w:r>
      <w:r>
        <w:t xml:space="preserve"> </w:t>
      </w:r>
      <w:r>
        <w:t xml:space="preserve">has implemented effective backup procedures for financial data, ensuring business continuity despite occasional connectivity issues common in the region. The ability of the</w:t>
      </w:r>
      <w:r>
        <w:t xml:space="preserve"> </w:t>
      </w:r>
      <w:r>
        <w:rPr>
          <w:bCs/>
          <w:b/>
        </w:rPr>
        <w:t xml:space="preserve">Accountant</w:t>
      </w:r>
      <w:r>
        <w:t xml:space="preserve"> </w:t>
      </w:r>
      <w:r>
        <w:t xml:space="preserve">to liaise effectively with local banks in Yangon to resolve reconciliation discrepancies was also noted as a significant strength.</w:t>
      </w:r>
    </w:p>
    <w:bookmarkEnd w:id="24"/>
    <w:bookmarkEnd w:id="25"/>
    <w:bookmarkStart w:id="26" w:name="recommendations"/>
    <w:p>
      <w:pPr>
        <w:pStyle w:val="Heading2"/>
      </w:pPr>
      <w:r>
        <w:t xml:space="preserve">4. Recommendations</w:t>
      </w:r>
    </w:p>
    <w:p>
      <w:pPr>
        <w:pStyle w:val="FirstParagraph"/>
      </w:pPr>
      <w:r>
        <w:t xml:space="preserve">Based on the findings detailed in this</w:t>
      </w:r>
      <w:r>
        <w:t xml:space="preserve"> </w:t>
      </w:r>
      <w:r>
        <w:rPr>
          <w:bCs/>
          <w:b/>
        </w:rPr>
        <w:t xml:space="preserve">Peer Review Report</w:t>
      </w:r>
      <w:r>
        <w:t xml:space="preserve">, the following recommendations are proposed for the</w:t>
      </w:r>
      <w:r>
        <w:t xml:space="preserve"> </w:t>
      </w:r>
      <w:r>
        <w:rPr>
          <w:bCs/>
          <w:b/>
        </w:rPr>
        <w:t xml:space="preserve">Accountant</w:t>
      </w:r>
      <w:r>
        <w:t xml:space="preserve"> </w:t>
      </w:r>
      <w:r>
        <w:t xml:space="preserve">to enhance performance within the</w:t>
      </w:r>
      <w:r>
        <w:t xml:space="preserve"> </w:t>
      </w:r>
      <w:r>
        <w:rPr>
          <w:bCs/>
          <w:b/>
        </w:rPr>
        <w:t xml:space="preserve">Myanmar Yangon</w:t>
      </w:r>
      <w:r>
        <w:t xml:space="preserve"> </w:t>
      </w:r>
      <w:r>
        <w:t xml:space="preserve">market:</w:t>
      </w:r>
    </w:p>
    <w:p>
      <w:pPr>
        <w:numPr>
          <w:ilvl w:val="0"/>
          <w:numId w:val="1002"/>
        </w:numPr>
        <w:pStyle w:val="Compact"/>
      </w:pPr>
      <w:r>
        <w:rPr>
          <w:bCs/>
          <w:b/>
        </w:rPr>
        <w:t xml:space="preserve">Enhanced Documentation:</w:t>
      </w:r>
      <w:r>
        <w:t xml:space="preserve"> </w:t>
      </w:r>
      <w:r>
        <w:t xml:space="preserve">The</w:t>
      </w:r>
      <w:r>
        <w:t xml:space="preserve"> </w:t>
      </w:r>
      <w:r>
        <w:rPr>
          <w:bCs/>
          <w:b/>
        </w:rPr>
        <w:t xml:space="preserve">Accountant</w:t>
      </w:r>
      <w:r>
        <w:t xml:space="preserve"> </w:t>
      </w:r>
      <w:r>
        <w:t xml:space="preserve">should maintain more detailed records regarding foreign exchange rate selections, specifically citing the Central Bank of Myanmar's daily rates to ensure defensibility during audits.</w:t>
      </w:r>
    </w:p>
    <w:p>
      <w:pPr>
        <w:numPr>
          <w:ilvl w:val="0"/>
          <w:numId w:val="1002"/>
        </w:numPr>
        <w:pStyle w:val="Compact"/>
      </w:pPr>
      <w:r>
        <w:rPr>
          <w:bCs/>
          <w:b/>
        </w:rPr>
        <w:t xml:space="preserve">Continuous Professional Development:</w:t>
      </w:r>
      <w:r>
        <w:t xml:space="preserve"> </w:t>
      </w:r>
      <w:r>
        <w:t xml:space="preserve">Given the evolving nature of the Myanmar tax code, the</w:t>
      </w:r>
      <w:r>
        <w:t xml:space="preserve"> </w:t>
      </w:r>
      <w:r>
        <w:rPr>
          <w:bCs/>
          <w:b/>
        </w:rPr>
        <w:t xml:space="preserve">Accountant</w:t>
      </w:r>
      <w:r>
        <w:t xml:space="preserve"> </w:t>
      </w:r>
      <w:r>
        <w:t xml:space="preserve">is advised to attend regular seminars hosted by the Institute of Certified Public Accountants of Myanmar (ICPAM) in Yangon.</w:t>
      </w:r>
    </w:p>
    <w:p>
      <w:pPr>
        <w:numPr>
          <w:ilvl w:val="0"/>
          <w:numId w:val="1002"/>
        </w:numPr>
        <w:pStyle w:val="Compact"/>
      </w:pPr>
      <w:r>
        <w:rPr>
          <w:bCs/>
          <w:b/>
        </w:rPr>
        <w:t xml:space="preserve">Software Optimization:</w:t>
      </w:r>
      <w:r>
        <w:t xml:space="preserve"> </w:t>
      </w:r>
      <w:r>
        <w:t xml:space="preserve">It is recommended that the</w:t>
      </w:r>
      <w:r>
        <w:t xml:space="preserve"> </w:t>
      </w:r>
      <w:r>
        <w:rPr>
          <w:bCs/>
          <w:b/>
        </w:rPr>
        <w:t xml:space="preserve">Accountant</w:t>
      </w:r>
      <w:r>
        <w:t xml:space="preserve"> </w:t>
      </w:r>
      <w:r>
        <w:t xml:space="preserve">upgrade the current accounting software to a version that offers better multi-currency support, which is essential for businesses operating in</w:t>
      </w:r>
      <w:r>
        <w:t xml:space="preserve"> </w:t>
      </w:r>
      <w:r>
        <w:rPr>
          <w:bCs/>
          <w:b/>
        </w:rPr>
        <w:t xml:space="preserve">Myanmar Yangon</w:t>
      </w:r>
      <w:r>
        <w:t xml:space="preserve"> </w:t>
      </w:r>
      <w:r>
        <w:t xml:space="preserve">with international trade partners.</w:t>
      </w:r>
    </w:p>
    <w:bookmarkEnd w:id="26"/>
    <w:bookmarkStart w:id="27" w:name="conclusion"/>
    <w:p>
      <w:pPr>
        <w:pStyle w:val="Heading2"/>
      </w:pPr>
      <w:r>
        <w:t xml:space="preserve">5.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Accountant</w:t>
      </w:r>
      <w:r>
        <w:t xml:space="preserve"> </w:t>
      </w:r>
      <w:r>
        <w:t xml:space="preserve">is performing at a professional standard that meets the expectations of the organization and the regulatory requirements of</w:t>
      </w:r>
      <w:r>
        <w:t xml:space="preserve"> </w:t>
      </w:r>
      <w:r>
        <w:rPr>
          <w:bCs/>
          <w:b/>
        </w:rPr>
        <w:t xml:space="preserve">Myanmar Yangon</w:t>
      </w:r>
      <w:r>
        <w:t xml:space="preserve">. While there are minor areas for improvement regarding tax depreciation schedules and documentation practices, the overall competency of the</w:t>
      </w:r>
      <w:r>
        <w:t xml:space="preserve"> </w:t>
      </w:r>
      <w:r>
        <w:rPr>
          <w:bCs/>
          <w:b/>
        </w:rPr>
        <w:t xml:space="preserve">Accountant</w:t>
      </w:r>
      <w:r>
        <w:t xml:space="preserve"> </w:t>
      </w:r>
      <w:r>
        <w:t xml:space="preserve">is sound. The</w:t>
      </w:r>
      <w:r>
        <w:t xml:space="preserve"> </w:t>
      </w:r>
      <w:r>
        <w:rPr>
          <w:bCs/>
          <w:b/>
        </w:rPr>
        <w:t xml:space="preserve">Accountant</w:t>
      </w:r>
      <w:r>
        <w:t xml:space="preserve"> </w:t>
      </w:r>
      <w:r>
        <w:t xml:space="preserve">plays a vital role in ensuring the financial health and compliance of the entity within the complex economic environment of Yangon.</w:t>
      </w:r>
    </w:p>
    <w:p>
      <w:pPr>
        <w:pStyle w:val="BodyText"/>
      </w:pPr>
      <w:r>
        <w:rPr>
          <w:bCs/>
          <w:b/>
        </w:rPr>
        <w:t xml:space="preserve">Reviewed By:</w:t>
      </w:r>
      <w:r>
        <w:br/>
      </w:r>
      <w:r>
        <w:t xml:space="preserve">Senior Peer Reviewer</w:t>
      </w:r>
      <w:r>
        <w:br/>
      </w:r>
      <w:r>
        <w:t xml:space="preserve">ICPAM Member</w:t>
      </w:r>
    </w:p>
    <w:p>
      <w:pPr>
        <w:pStyle w:val="BodyText"/>
      </w:pPr>
      <w:r>
        <w:rPr>
          <w:bCs/>
          <w:b/>
        </w:rPr>
        <w:t xml:space="preserve">Reviewed For:</w:t>
      </w:r>
      <w:r>
        <w:br/>
      </w:r>
      <w:r>
        <w:t xml:space="preserve">Chief Financial Officer</w:t>
      </w:r>
      <w:r>
        <w:br/>
      </w:r>
      <w:r>
        <w:t xml:space="preserve">Yangon Operations</w:t>
      </w:r>
    </w:p>
    <w:p>
      <w:pPr>
        <w:pStyle w:val="BodyText"/>
      </w:pPr>
      <w:r>
        <w:t xml:space="preserve">Confidential Document - Prepared for Internal Use Only. This Peer Review Report is specific to the Accountant's performance in Myanmar Yangon.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Accountant - Yangon, Myanmar</dc:title>
  <dc:creator/>
  <dc:language>en</dc:language>
  <cp:keywords/>
  <dcterms:created xsi:type="dcterms:W3CDTF">2026-10-10T03:13:33Z</dcterms:created>
  <dcterms:modified xsi:type="dcterms:W3CDTF">2026-10-10T03:13:33Z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