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Ethical Compliance of Accountant</w:t>
      </w:r>
    </w:p>
    <w:p>
      <w:pPr>
        <w:pStyle w:val="BodyText"/>
      </w:pPr>
      <w:r>
        <w:rPr>
          <w:bCs/>
          <w:b/>
        </w:rPr>
        <w:t xml:space="preserve">Location:</w:t>
      </w:r>
      <w:r>
        <w:t xml:space="preserve"> </w:t>
      </w:r>
      <w:r>
        <w:t xml:space="preserve">Nepal Kathmandu</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ethical adherence of the Accountant operating within the jurisdiction of Nepal Kathmandu. The review is conducted in accordance with the standards set forth by the Institute of Chartered Accountants of Nepal (ICAN) and aligns with the regulatory framework established by the Office of the Company Registrar and the Inland Revenue Department of Nepal.</w:t>
      </w:r>
    </w:p>
    <w:p>
      <w:pPr>
        <w:pStyle w:val="BodyText"/>
      </w:pPr>
      <w:r>
        <w:t xml:space="preserve">The primary objective of this assessment is to ensure that the Accountant maintains the highest standards of financial reporting, tax compliance, and internal control mechanisms. Given the dynamic economic environment of Nepal Kathmandu, characterized by rapid urbanization and evolving business regulations, it is imperative that accounting professionals demonstrate rigorous adherence to International Financial Reporting Standards (IFRS) as adopted in Nepal. This report serves as a formal documentation of the findings, observations, and recommendations resulting from a comprehensive audit of the Accountant's recent professional engagements.</w:t>
      </w:r>
    </w:p>
    <w:bookmarkEnd w:id="21"/>
    <w:bookmarkStart w:id="22" w:name="regulatory-context-and-compliance"/>
    <w:p>
      <w:pPr>
        <w:pStyle w:val="Heading2"/>
      </w:pPr>
      <w:r>
        <w:t xml:space="preserve">2. Regulatory Context and Compliance</w:t>
      </w:r>
    </w:p>
    <w:p>
      <w:pPr>
        <w:pStyle w:val="FirstParagraph"/>
      </w:pPr>
      <w:r>
        <w:t xml:space="preserve">The practice of accounting in Nepal Kathmandu is governed by strict statutory requirements. The Accountant under review was assessed against the Companies Act, 2063, and the Income Tax Act, 2058. The review focused on the accuracy of financial statements prepared for various clients, including private limited companies and non-governmental organizations (NGOs) prevalent in the Kathmandu Valley.</w:t>
      </w:r>
    </w:p>
    <w:p>
      <w:pPr>
        <w:pStyle w:val="BodyText"/>
      </w:pPr>
      <w:r>
        <w:t xml:space="preserve">A critical aspect of this Peer Review Report is the verification of tax compliance. The Accountant was evaluated on their ability to correctly calculate and file Value Added Tax (VAT), Turnover Tax, and Withholding Tax returns. The complexity of the Nepalese tax regime requires a deep understanding of periodic amendments issued by the government. The review confirms whether the Accountant has kept abreast of these changes and applied them correctly in the financial records of their clients.</w:t>
      </w:r>
    </w:p>
    <w:bookmarkEnd w:id="22"/>
    <w:bookmarkStart w:id="23" w:name="X2d52d5904558ecde737553bef4285b0c6b9c1bd"/>
    <w:p>
      <w:pPr>
        <w:pStyle w:val="Heading2"/>
      </w:pPr>
      <w:r>
        <w:t xml:space="preserve">3. Technical Competence and Financial Reporting</w:t>
      </w:r>
    </w:p>
    <w:p>
      <w:pPr>
        <w:pStyle w:val="FirstParagraph"/>
      </w:pPr>
      <w:r>
        <w:t xml:space="preserve">The technical proficiency of the Accountant was scrutinized through a sample selection of financial statements prepared during the last fiscal year (2079/80 BS). The evaluation criteria included the proper classification of assets and liabilities, the accuracy of revenue recognition, and the adequacy of disclosures in the notes to the financial statements.</w:t>
      </w:r>
    </w:p>
    <w:p>
      <w:pPr>
        <w:pStyle w:val="BodyText"/>
      </w:pPr>
      <w:r>
        <w:t xml:space="preserve">It was observed that the Accountant demonstrates a strong command of accounting principles relevant to Nepal Kathmandu. The financial statements reviewed were presented in a clear and transparent manner, facilitating easy understanding for stakeholders. The use of accounting software, such as Tally or QuickBooks, was noted to be efficient, with proper backup and data integrity measures in place. However, the Peer Review Report highlights the need for enhanced documentation regarding the estimation of provisions for doubtful debts, which is a common challenge in the local business environment.</w:t>
      </w:r>
    </w:p>
    <w:bookmarkEnd w:id="23"/>
    <w:bookmarkStart w:id="24" w:name="X4ce211acb8b02978b825403f312638d11fa1afd"/>
    <w:p>
      <w:pPr>
        <w:pStyle w:val="Heading2"/>
      </w:pPr>
      <w:r>
        <w:t xml:space="preserve">4. Ethical Standards and Professional Conduct</w:t>
      </w:r>
    </w:p>
    <w:p>
      <w:pPr>
        <w:pStyle w:val="FirstParagraph"/>
      </w:pPr>
      <w:r>
        <w:t xml:space="preserve">Integrity and objectivity are the cornerstones of the accounting profession. This section of the Peer Review Report assesses the Accountant's adherence to the Code of Ethics issued by ICAN. The review investigated potential conflicts of interest, confidentiality breaches, and the independence of the Accountant in their professional engagements.</w:t>
      </w:r>
    </w:p>
    <w:p>
      <w:pPr>
        <w:pStyle w:val="BodyText"/>
      </w:pPr>
      <w:r>
        <w:t xml:space="preserve">The findings indicate that the Accountant has maintained a high level of professional skepticism and ethical behavior. There were no instances of misrepresentation of financial data or undue influence from clients. The Accountant has consistently advised clients on the importance of maintaining accurate records, even when such practices might result in higher tax liabilities. This commitment to ethical standards is crucial for maintaining public trust in the financial sector of Nepal Kathmandu.</w:t>
      </w:r>
    </w:p>
    <w:bookmarkEnd w:id="24"/>
    <w:bookmarkStart w:id="25" w:name="internal-controls-and-risk-management"/>
    <w:p>
      <w:pPr>
        <w:pStyle w:val="Heading2"/>
      </w:pPr>
      <w:r>
        <w:t xml:space="preserve">5. Internal Controls and Risk Management</w:t>
      </w:r>
    </w:p>
    <w:p>
      <w:pPr>
        <w:pStyle w:val="FirstParagraph"/>
      </w:pPr>
      <w:r>
        <w:t xml:space="preserve">Effective internal controls are essential for preventing fraud and errors. The Accountant was evaluated on their ability to design and implement robust internal control systems for their clients. The review focused on segregation of duties, authorization procedures, and physical controls over assets.</w:t>
      </w:r>
    </w:p>
    <w:p>
      <w:pPr>
        <w:pStyle w:val="BodyText"/>
      </w:pPr>
      <w:r>
        <w:t xml:space="preserve">While the Accountant has implemented basic internal controls, the Peer Review Report recommends a more proactive approach to risk management. Specifically, there is a need to enhance controls over cash handling and inventory management, which are areas of high risk in many businesses operating in Nepal Kathmandu. The Accountant should provide more detailed guidance to clients on establishing automated controls to reduce the risk of human error.</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this Peer Review Report concludes that the Accountant is competent and ethical in their practice within Nepal Kathmandu. However, to further enhance the quality of their services, the following recommendations are made:</w:t>
      </w:r>
    </w:p>
    <w:p>
      <w:pPr>
        <w:numPr>
          <w:ilvl w:val="0"/>
          <w:numId w:val="1001"/>
        </w:numPr>
        <w:pStyle w:val="Compact"/>
      </w:pPr>
      <w:r>
        <w:t xml:space="preserve">Engage in continuous professional development to stay updated with the latest changes in Nepalese tax laws and accounting standards.</w:t>
      </w:r>
    </w:p>
    <w:p>
      <w:pPr>
        <w:numPr>
          <w:ilvl w:val="0"/>
          <w:numId w:val="1001"/>
        </w:numPr>
        <w:pStyle w:val="Compact"/>
      </w:pPr>
      <w:r>
        <w:t xml:space="preserve">Strengthen the documentation of accounting estimates and judgments to provide a clearer audit trail.</w:t>
      </w:r>
    </w:p>
    <w:p>
      <w:pPr>
        <w:numPr>
          <w:ilvl w:val="0"/>
          <w:numId w:val="1001"/>
        </w:numPr>
        <w:pStyle w:val="Compact"/>
      </w:pPr>
      <w:r>
        <w:t xml:space="preserve">Advocate for more sophisticated internal control systems among clients to mitigate financial risks.</w:t>
      </w:r>
    </w:p>
    <w:p>
      <w:pPr>
        <w:numPr>
          <w:ilvl w:val="0"/>
          <w:numId w:val="1001"/>
        </w:numPr>
        <w:pStyle w:val="Compact"/>
      </w:pPr>
      <w:r>
        <w:t xml:space="preserve">Enhance communication with clients regarding the implications of financial decisions on their overall business strategy.</w:t>
      </w:r>
    </w:p>
    <w:p>
      <w:pPr>
        <w:pStyle w:val="FirstParagraph"/>
      </w:pPr>
      <w:r>
        <w:t xml:space="preserve">In conclusion, the Accountant has demonstrated a solid foundation of knowledge and skills necessary for the profession. By addressing the recommendations outlined in this report, the Accountant will be better positioned to serve their clients effectively and contribute to the integrity of the financial reporting landscape in Nepal Kathmandu.</w:t>
      </w:r>
    </w:p>
    <w:bookmarkEnd w:id="26"/>
    <w:p>
      <w:pPr>
        <w:pStyle w:val="BodyText"/>
      </w:pPr>
      <w:r>
        <w:rPr>
          <w:bCs/>
          <w:b/>
        </w:rPr>
        <w:t xml:space="preserve">Prepared by:</w:t>
      </w:r>
    </w:p>
    <w:p>
      <w:pPr>
        <w:pStyle w:val="BodyText"/>
      </w:pPr>
      <w:r>
        <w:t xml:space="preserve">__________________________</w:t>
      </w:r>
    </w:p>
    <w:p>
      <w:pPr>
        <w:pStyle w:val="BodyText"/>
      </w:pPr>
      <w:r>
        <w:t xml:space="preserve">Lead Reviewer</w:t>
      </w:r>
    </w:p>
    <w:p>
      <w:pPr>
        <w:pStyle w:val="BodyText"/>
      </w:pPr>
      <w:r>
        <w:t xml:space="preserve">Independent Peer Review Committee</w:t>
      </w:r>
    </w:p>
    <w:p>
      <w:pPr>
        <w:pStyle w:val="BodyText"/>
      </w:pPr>
      <w:r>
        <w:t xml:space="preserve">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Nepal Kathmandu</dc:title>
  <dc:creator/>
  <dc:language>en</dc:language>
  <cp:keywords/>
  <dcterms:created xsi:type="dcterms:W3CDTF">2026-10-10T04:05:26Z</dcterms:created>
  <dcterms:modified xsi:type="dcterms:W3CDTF">2026-10-10T04:05:26Z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