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Netherlands</w:t>
      </w:r>
      <w:r>
        <w:t xml:space="preserve"> </w:t>
      </w:r>
      <w:r>
        <w:t xml:space="preserve">Amsterdam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Compliance Assessment of an Accountant</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ethical standards, and regulatory compliance of an Accountant operating within the jurisdiction of the Netherlands Amsterdam. The purpose of this review is to ensure that the Accountant adheres to the highest standards of professionalism as mandated by the Dutch Institute of Registered Accountants (NBA) and complies with the relevant laws and regulations governing accounting practices in the Netherlands.</w:t>
      </w:r>
    </w:p>
    <w:p>
      <w:pPr>
        <w:pStyle w:val="BodyText"/>
      </w:pPr>
      <w:r>
        <w:t xml:space="preserve">The review focuses on the Accountant's ability to deliver accurate financial reporting, maintain client confidentiality, and uphold the integrity of the accounting profession in the dynamic business environment of Amsterdam, a major financial hub in Europe.</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Compliance with Dutch Accounting Standards (RAS) and International Financial Reporting Standards (IFRS).</w:t>
      </w:r>
    </w:p>
    <w:p>
      <w:pPr>
        <w:numPr>
          <w:ilvl w:val="0"/>
          <w:numId w:val="1001"/>
        </w:numPr>
        <w:pStyle w:val="Compact"/>
      </w:pPr>
      <w:r>
        <w:t xml:space="preserve">Adherence to the Code of Ethics for Professional Accountants as established by the NBA.</w:t>
      </w:r>
    </w:p>
    <w:p>
      <w:pPr>
        <w:numPr>
          <w:ilvl w:val="0"/>
          <w:numId w:val="1001"/>
        </w:numPr>
        <w:pStyle w:val="Compact"/>
      </w:pPr>
      <w:r>
        <w:t xml:space="preserve">Quality of financial audits and assurance services provided to clients in the Netherlands Amsterdam.</w:t>
      </w:r>
    </w:p>
    <w:p>
      <w:pPr>
        <w:numPr>
          <w:ilvl w:val="0"/>
          <w:numId w:val="1001"/>
        </w:numPr>
        <w:pStyle w:val="Compact"/>
      </w:pPr>
      <w:r>
        <w:t xml:space="preserve">Implementation of internal controls and risk management practices.</w:t>
      </w:r>
    </w:p>
    <w:p>
      <w:pPr>
        <w:numPr>
          <w:ilvl w:val="0"/>
          <w:numId w:val="1001"/>
        </w:numPr>
        <w:pStyle w:val="Compact"/>
      </w:pPr>
      <w:r>
        <w:t xml:space="preserve">Continuing Professional Development (CPD) and staying updated with regulatory changes.</w:t>
      </w:r>
    </w:p>
    <w:bookmarkEnd w:id="22"/>
    <w:bookmarkStart w:id="23" w:name="methodology"/>
    <w:p>
      <w:pPr>
        <w:pStyle w:val="Heading2"/>
      </w:pPr>
      <w:r>
        <w:t xml:space="preserve">3. Methodology</w:t>
      </w:r>
    </w:p>
    <w:p>
      <w:pPr>
        <w:pStyle w:val="FirstParagraph"/>
      </w:pPr>
      <w:r>
        <w:t xml:space="preserve">The Peer Review Report was conducted through a combination of document analysis, interviews, and on-site observations. The methodology included:</w:t>
      </w:r>
    </w:p>
    <w:p>
      <w:pPr>
        <w:numPr>
          <w:ilvl w:val="0"/>
          <w:numId w:val="1002"/>
        </w:numPr>
        <w:pStyle w:val="Compact"/>
      </w:pPr>
      <w:r>
        <w:t xml:space="preserve">Reviewing a sample of financial statements and audit reports prepared by the Accountant.</w:t>
      </w:r>
    </w:p>
    <w:p>
      <w:pPr>
        <w:numPr>
          <w:ilvl w:val="0"/>
          <w:numId w:val="1002"/>
        </w:numPr>
        <w:pStyle w:val="Compact"/>
      </w:pPr>
      <w:r>
        <w:t xml:space="preserve">Assessing the Accountant's adherence to the Dutch Civil Code (Burgerlijk Wetboek) and the Financial Supervision Act (Wet op het financieel toezicht).</w:t>
      </w:r>
    </w:p>
    <w:p>
      <w:pPr>
        <w:numPr>
          <w:ilvl w:val="0"/>
          <w:numId w:val="1002"/>
        </w:numPr>
        <w:pStyle w:val="Compact"/>
      </w:pPr>
      <w:r>
        <w:t xml:space="preserve">Evaluating the Accountant's engagement with clients in the Netherlands Amsterdam to ensure transparency and accuracy in financial reporting.</w:t>
      </w:r>
    </w:p>
    <w:p>
      <w:pPr>
        <w:numPr>
          <w:ilvl w:val="0"/>
          <w:numId w:val="1002"/>
        </w:numPr>
        <w:pStyle w:val="Compact"/>
      </w:pPr>
      <w:r>
        <w:t xml:space="preserve">Verifying the Accountant's participation in mandatory CPD activities as required by the NBA.</w:t>
      </w:r>
    </w:p>
    <w:bookmarkEnd w:id="23"/>
    <w:bookmarkStart w:id="29" w:name="findings"/>
    <w:p>
      <w:pPr>
        <w:pStyle w:val="Heading2"/>
      </w:pPr>
      <w:r>
        <w:t xml:space="preserve">4. Findings</w:t>
      </w:r>
    </w:p>
    <w:bookmarkStart w:id="24" w:name="compliance-with-accounting-standards"/>
    <w:p>
      <w:pPr>
        <w:pStyle w:val="Heading3"/>
      </w:pPr>
      <w:r>
        <w:t xml:space="preserve">4.1 Compliance with Accounting Standards</w:t>
      </w:r>
    </w:p>
    <w:p>
      <w:pPr>
        <w:pStyle w:val="FirstParagraph"/>
      </w:pPr>
      <w:r>
        <w:t xml:space="preserve">The Accountant demonstrated a strong understanding of both Dutch Accounting Standards (RAS) and International Financial Reporting Standards (IFRS). Financial statements reviewed were prepared in accordance with these standards, ensuring accuracy and comparability. The Accountant's work reflects a commitment to maintaining the integrity of financial reporting in the Netherlands Amsterdam.</w:t>
      </w:r>
    </w:p>
    <w:bookmarkEnd w:id="24"/>
    <w:bookmarkStart w:id="25" w:name="ethical-standards"/>
    <w:p>
      <w:pPr>
        <w:pStyle w:val="Heading3"/>
      </w:pPr>
      <w:r>
        <w:t xml:space="preserve">4.2 Ethical Standards</w:t>
      </w:r>
    </w:p>
    <w:p>
      <w:pPr>
        <w:pStyle w:val="FirstParagraph"/>
      </w:pPr>
      <w:r>
        <w:t xml:space="preserve">The Accountant adhered to the Code of Ethics for Professional Accountants, maintaining independence, objectivity, and confidentiality in all client engagements. No conflicts of interest were identified, and the Accountant's conduct aligns with the expectations of the NBA.</w:t>
      </w:r>
    </w:p>
    <w:bookmarkEnd w:id="25"/>
    <w:bookmarkStart w:id="26" w:name="quality-of-audits-and-assurance-services"/>
    <w:p>
      <w:pPr>
        <w:pStyle w:val="Heading3"/>
      </w:pPr>
      <w:r>
        <w:t xml:space="preserve">4.3 Quality of Audits and Assurance Services</w:t>
      </w:r>
    </w:p>
    <w:p>
      <w:pPr>
        <w:pStyle w:val="FirstParagraph"/>
      </w:pPr>
      <w:r>
        <w:t xml:space="preserve">The quality of audits and assurance services provided by the Accountant was found to be satisfactory. Audit reports were thorough, well-documented, and compliant with the Dutch Audit Act (Wet toezicht accountantsorganisaties). The Accountant's ability to identify and address risks in the financial statements of clients in the Netherlands Amsterdam was commendable.</w:t>
      </w:r>
    </w:p>
    <w:bookmarkEnd w:id="26"/>
    <w:bookmarkStart w:id="27" w:name="internal-controls-and-risk-management"/>
    <w:p>
      <w:pPr>
        <w:pStyle w:val="Heading3"/>
      </w:pPr>
      <w:r>
        <w:t xml:space="preserve">4.4 Internal Controls and Risk Management</w:t>
      </w:r>
    </w:p>
    <w:p>
      <w:pPr>
        <w:pStyle w:val="FirstParagraph"/>
      </w:pPr>
      <w:r>
        <w:t xml:space="preserve">The Accountant implemented robust internal controls and risk management practices to ensure the accuracy and reliability of financial reporting. These practices align with the requirements of the Dutch Corporate Governance Code and contribute to the overall stability of the financial ecosystem in Amsterdam.</w:t>
      </w:r>
    </w:p>
    <w:bookmarkEnd w:id="27"/>
    <w:bookmarkStart w:id="28" w:name="continuing-professional-development"/>
    <w:p>
      <w:pPr>
        <w:pStyle w:val="Heading3"/>
      </w:pPr>
      <w:r>
        <w:t xml:space="preserve">4.5 Continuing Professional Development</w:t>
      </w:r>
    </w:p>
    <w:p>
      <w:pPr>
        <w:pStyle w:val="FirstParagraph"/>
      </w:pPr>
      <w:r>
        <w:t xml:space="preserve">The Accountant actively participated in CPD activities, including seminars, workshops, and online courses, to stay updated with the latest developments in accounting and regulatory requirements. This commitment to professional growth is essential for maintaining competence in the fast-paced business environment of the Netherlands Amsterdam.</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Continue to prioritize compliance with Dutch Accounting Standards (RAS) and International Financial Reporting Standards (IFRS) to maintain the highest level of professionalism.</w:t>
      </w:r>
    </w:p>
    <w:p>
      <w:pPr>
        <w:numPr>
          <w:ilvl w:val="0"/>
          <w:numId w:val="1003"/>
        </w:numPr>
        <w:pStyle w:val="Compact"/>
      </w:pPr>
      <w:r>
        <w:t xml:space="preserve">Enhance engagement with clients in the Netherlands Amsterdam to provide tailored financial advice and support.</w:t>
      </w:r>
    </w:p>
    <w:p>
      <w:pPr>
        <w:numPr>
          <w:ilvl w:val="0"/>
          <w:numId w:val="1003"/>
        </w:numPr>
        <w:pStyle w:val="Compact"/>
      </w:pPr>
      <w:r>
        <w:t xml:space="preserve">Invest in advanced training programs to further develop expertise in emerging areas such as digital accounting and sustainability reporting.</w:t>
      </w:r>
    </w:p>
    <w:p>
      <w:pPr>
        <w:numPr>
          <w:ilvl w:val="0"/>
          <w:numId w:val="1003"/>
        </w:numPr>
        <w:pStyle w:val="Compact"/>
      </w:pPr>
      <w:r>
        <w:t xml:space="preserve">Strengthen internal controls and risk management practices to address potential challenges in the evolving regulatory landscape.</w:t>
      </w:r>
    </w:p>
    <w:bookmarkEnd w:id="30"/>
    <w:bookmarkStart w:id="31" w:name="conclusion"/>
    <w:p>
      <w:pPr>
        <w:pStyle w:val="Heading2"/>
      </w:pPr>
      <w:r>
        <w:t xml:space="preserve">6. Conclusion</w:t>
      </w:r>
    </w:p>
    <w:p>
      <w:pPr>
        <w:pStyle w:val="FirstParagraph"/>
      </w:pPr>
      <w:r>
        <w:t xml:space="preserve">This Peer Review Report confirms that the Accountant operates with a high degree of professionalism, competence, and ethical integrity in the Netherlands Amsterdam. The Accountant's adherence to Dutch Accounting Standards (RAS), International Financial Reporting Standards (IFRS), and the Code of Ethics for Professional Accountants ensures the reliability and transparency of financial reporting. By continuing to invest in professional development and maintaining a client-centric approach, the Accountant is well-positioned to contribute to the financial stability and growth of businesses in Amsterdam.</w:t>
      </w:r>
    </w:p>
    <w:bookmarkEnd w:id="31"/>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Peer Reviewer</w:t>
      </w:r>
    </w:p>
    <w:p>
      <w:pPr>
        <w:pStyle w:val="BodyText"/>
      </w:pPr>
      <w:r>
        <w:rPr>
          <w:bCs/>
          <w:b/>
        </w:rPr>
        <w:t xml:space="preserve">Organization:</w:t>
      </w:r>
      <w:r>
        <w:t xml:space="preserve"> </w:t>
      </w:r>
      <w:r>
        <w:t xml:space="preserve">[Reviewing Body]</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Netherlands Amsterdam</dc:title>
  <dc:creator/>
  <dc:language>en</dc:language>
  <cp:keywords/>
  <dcterms:created xsi:type="dcterms:W3CDTF">2026-10-10T09:04:09Z</dcterms:created>
  <dcterms:modified xsi:type="dcterms:W3CDTF">2026-10-10T09:04:09Z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