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Professional Evaluation of Accounting Standards and Compliance</w:t>
      </w:r>
    </w:p>
    <w:bookmarkEnd w:id="20"/>
    <w:p>
      <w:pPr>
        <w:pStyle w:val="BodyText"/>
      </w:pPr>
      <w:r>
        <w:rPr>
          <w:bCs/>
          <w:b/>
        </w:rPr>
        <w:t xml:space="preserve">Date of Report:</w:t>
      </w:r>
      <w:r>
        <w:t xml:space="preserve"> </w:t>
      </w:r>
      <w:r>
        <w:t xml:space="preserve">October 24, 2023</w:t>
      </w:r>
    </w:p>
    <w:p>
      <w:pPr>
        <w:pStyle w:val="BodyText"/>
      </w:pPr>
      <w:r>
        <w:rPr>
          <w:bCs/>
          <w:b/>
        </w:rPr>
        <w:t xml:space="preserve">Review Reference ID:</w:t>
      </w:r>
      <w:r>
        <w:t xml:space="preserve"> </w:t>
      </w:r>
      <w:r>
        <w:t xml:space="preserve">PR-LIM-2023-089</w:t>
      </w:r>
    </w:p>
    <w:p>
      <w:pPr>
        <w:pStyle w:val="BodyText"/>
      </w:pPr>
      <w:r>
        <w:rPr>
          <w:bCs/>
          <w:b/>
        </w:rPr>
        <w:t xml:space="preserve">Subject Entity:</w:t>
      </w:r>
      <w:r>
        <w:t xml:space="preserve"> </w:t>
      </w:r>
      <w:r>
        <w:t xml:space="preserve">[Name of Accounting Firm/Professional]</w:t>
      </w:r>
    </w:p>
    <w:p>
      <w:pPr>
        <w:pStyle w:val="BodyText"/>
      </w:pPr>
      <w:r>
        <w:rPr>
          <w:bCs/>
          <w:b/>
        </w:rPr>
        <w:t xml:space="preserve">Location:</w:t>
      </w:r>
      <w:r>
        <w:t xml:space="preserve"> </w:t>
      </w:r>
      <w:r>
        <w:t xml:space="preserve">Lima, Peru</w:t>
      </w:r>
    </w:p>
    <w:p>
      <w:pPr>
        <w:pStyle w:val="BodyText"/>
      </w:pPr>
      <w:r>
        <w:rPr>
          <w:bCs/>
          <w:b/>
        </w:rPr>
        <w:t xml:space="preserve">Reviewer:</w:t>
      </w:r>
      <w:r>
        <w:t xml:space="preserve"> </w:t>
      </w:r>
      <w:r>
        <w:t xml:space="preserve">Senior Audit Committee</w:t>
      </w:r>
    </w:p>
    <w:p>
      <w:pPr>
        <w:pStyle w:val="BodyText"/>
      </w:pPr>
      <w:r>
        <w:rPr>
          <w:bCs/>
          <w:b/>
        </w:rPr>
        <w:t xml:space="preserve">Scope:</w:t>
      </w:r>
      <w:r>
        <w:t xml:space="preserve"> </w:t>
      </w:r>
      <w:r>
        <w:t xml:space="preserve">Financial Reporting, Tax Compliance, Internal Controls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professional performance, technical competence, and regulatory adherence of the subject</w:t>
      </w:r>
      <w:r>
        <w:t xml:space="preserve"> </w:t>
      </w:r>
      <w:r>
        <w:rPr>
          <w:bCs/>
          <w:b/>
        </w:rPr>
        <w:t xml:space="preserve">Accountant</w:t>
      </w:r>
      <w:r>
        <w:t xml:space="preserve"> </w:t>
      </w:r>
      <w:r>
        <w:t xml:space="preserve">operating within the financial district of</w:t>
      </w:r>
      <w:r>
        <w:t xml:space="preserve"> </w:t>
      </w:r>
      <w:r>
        <w:rPr>
          <w:bCs/>
          <w:b/>
        </w:rPr>
        <w:t xml:space="preserve">Peru Lima</w:t>
      </w:r>
      <w:r>
        <w:t xml:space="preserve">. The review was conducted in accordance with the standards established by the Colegio de Contadores Públicos de Lima (CCPL) and the International Standards on Auditing (ISA) as adopted by the Peruvian regulatory framework.</w:t>
      </w:r>
    </w:p>
    <w:p>
      <w:pPr>
        <w:pStyle w:val="BodyText"/>
      </w:pPr>
      <w:r>
        <w:t xml:space="preserve">The primary objective of this assessment is to ensure that the</w:t>
      </w:r>
      <w:r>
        <w:t xml:space="preserve"> </w:t>
      </w:r>
      <w:r>
        <w:rPr>
          <w:bCs/>
          <w:b/>
        </w:rPr>
        <w:t xml:space="preserve">Accountant</w:t>
      </w:r>
      <w:r>
        <w:t xml:space="preserve"> </w:t>
      </w:r>
      <w:r>
        <w:t xml:space="preserve">maintains high-quality financial reporting practices, adheres strictly to the Peruvian General Accounting Standards (NGCP), and complies with the tax regulations enforced by the Superintendencia Nacional de Aduanas y de Administración Tributaria (SUNAT). The review covers a twelve-month period of operational activity, focusing on the accuracy of financial statements, the robustness of internal control systems, and the ethical conduct of the professional.</w:t>
      </w:r>
    </w:p>
    <w:bookmarkEnd w:id="21"/>
    <w:bookmarkStart w:id="22" w:name="regulatory-context-and-scope"/>
    <w:p>
      <w:pPr>
        <w:pStyle w:val="Heading2"/>
      </w:pPr>
      <w:r>
        <w:t xml:space="preserve">2. Regulatory Context and Scope</w:t>
      </w:r>
    </w:p>
    <w:p>
      <w:pPr>
        <w:pStyle w:val="FirstParagraph"/>
      </w:pPr>
      <w:r>
        <w:t xml:space="preserve">The financial landscape in</w:t>
      </w:r>
      <w:r>
        <w:t xml:space="preserve"> </w:t>
      </w:r>
      <w:r>
        <w:rPr>
          <w:bCs/>
          <w:b/>
        </w:rPr>
        <w:t xml:space="preserve">Peru Lima</w:t>
      </w:r>
      <w:r>
        <w:t xml:space="preserve"> </w:t>
      </w:r>
      <w:r>
        <w:t xml:space="preserve">is characterized by a rigorous regulatory environment. As the economic hub of the country, Lima hosts a significant portion of the nation's corporate entities, requiring</w:t>
      </w:r>
      <w:r>
        <w:t xml:space="preserve"> </w:t>
      </w:r>
      <w:r>
        <w:rPr>
          <w:bCs/>
          <w:b/>
        </w:rPr>
        <w:t xml:space="preserve">Accountant</w:t>
      </w:r>
      <w:r>
        <w:t xml:space="preserve"> </w:t>
      </w:r>
      <w:r>
        <w:t xml:space="preserve">professionals to navigate complex fiscal laws. This</w:t>
      </w:r>
      <w:r>
        <w:t xml:space="preserve"> </w:t>
      </w:r>
      <w:r>
        <w:rPr>
          <w:bCs/>
          <w:b/>
        </w:rPr>
        <w:t xml:space="preserve">Peer Review Report</w:t>
      </w:r>
      <w:r>
        <w:t xml:space="preserve"> </w:t>
      </w:r>
      <w:r>
        <w:t xml:space="preserve">specifically examines the subject's ability to manage these complexities.</w:t>
      </w:r>
    </w:p>
    <w:p>
      <w:pPr>
        <w:pStyle w:val="BodyText"/>
      </w:pPr>
      <w:r>
        <w:t xml:space="preserve">The scope of this review includes:</w:t>
      </w:r>
    </w:p>
    <w:p>
      <w:pPr>
        <w:numPr>
          <w:ilvl w:val="0"/>
          <w:numId w:val="1001"/>
        </w:numPr>
        <w:pStyle w:val="Compact"/>
      </w:pPr>
      <w:r>
        <w:rPr>
          <w:bCs/>
          <w:b/>
        </w:rPr>
        <w:t xml:space="preserve">Compliance with NGCP:</w:t>
      </w:r>
      <w:r>
        <w:t xml:space="preserve"> </w:t>
      </w:r>
      <w:r>
        <w:t xml:space="preserve">Verification that financial statements are prepared in accordance with the Normas Generales de Contabilidad Pública and private sector equivalents.</w:t>
      </w:r>
    </w:p>
    <w:p>
      <w:pPr>
        <w:numPr>
          <w:ilvl w:val="0"/>
          <w:numId w:val="1001"/>
        </w:numPr>
        <w:pStyle w:val="Compact"/>
      </w:pPr>
      <w:r>
        <w:rPr>
          <w:bCs/>
          <w:b/>
        </w:rPr>
        <w:t xml:space="preserve">SUNAT Adherence:</w:t>
      </w:r>
      <w:r>
        <w:t xml:space="preserve"> </w:t>
      </w:r>
      <w:r>
        <w:t xml:space="preserve">Assessment of electronic invoicing systems (SUNAT e-Invoicing), VAT (IGV) calculations, and corporate income tax (Impuesto a la Renta) filings.</w:t>
      </w:r>
    </w:p>
    <w:p>
      <w:pPr>
        <w:numPr>
          <w:ilvl w:val="0"/>
          <w:numId w:val="1001"/>
        </w:numPr>
        <w:pStyle w:val="Compact"/>
      </w:pPr>
      <w:r>
        <w:rPr>
          <w:bCs/>
          <w:b/>
        </w:rPr>
        <w:t xml:space="preserve">Internal Controls:</w:t>
      </w:r>
      <w:r>
        <w:t xml:space="preserve"> </w:t>
      </w:r>
      <w:r>
        <w:t xml:space="preserve">Evaluation of the risk management frameworks implemented by the</w:t>
      </w:r>
      <w:r>
        <w:t xml:space="preserve"> </w:t>
      </w:r>
      <w:r>
        <w:rPr>
          <w:bCs/>
          <w:b/>
        </w:rPr>
        <w:t xml:space="preserve">Accountant</w:t>
      </w:r>
      <w:r>
        <w:t xml:space="preserve"> </w:t>
      </w:r>
      <w:r>
        <w:t xml:space="preserve">to prevent fraud and errors.</w:t>
      </w:r>
    </w:p>
    <w:p>
      <w:pPr>
        <w:numPr>
          <w:ilvl w:val="0"/>
          <w:numId w:val="1001"/>
        </w:numPr>
        <w:pStyle w:val="Compact"/>
      </w:pPr>
      <w:r>
        <w:rPr>
          <w:bCs/>
          <w:b/>
        </w:rPr>
        <w:t xml:space="preserve">Professional Ethics:</w:t>
      </w:r>
      <w:r>
        <w:t xml:space="preserve"> </w:t>
      </w:r>
      <w:r>
        <w:t xml:space="preserve">Review of independence, confidentiality, and professional behavior as mandated by the CCPL code of ethics.</w:t>
      </w:r>
    </w:p>
    <w:bookmarkEnd w:id="22"/>
    <w:bookmarkStart w:id="26" w:name="detailed-findings"/>
    <w:p>
      <w:pPr>
        <w:pStyle w:val="Heading2"/>
      </w:pPr>
      <w:r>
        <w:t xml:space="preserve">3. Detailed Findings</w:t>
      </w:r>
    </w:p>
    <w:bookmarkStart w:id="23" w:name="X2d52d5904558ecde737553bef4285b0c6b9c1bd"/>
    <w:p>
      <w:pPr>
        <w:pStyle w:val="Heading3"/>
      </w:pPr>
      <w:r>
        <w:t xml:space="preserve">3.1 Technical Competence and Financial Reporting</w:t>
      </w:r>
    </w:p>
    <w:p>
      <w:pPr>
        <w:pStyle w:val="FirstParagraph"/>
      </w:pPr>
      <w:r>
        <w:t xml:space="preserve">The review team analyzed a sample of financial statements prepared by the</w:t>
      </w:r>
      <w:r>
        <w:t xml:space="preserve"> </w:t>
      </w:r>
      <w:r>
        <w:rPr>
          <w:bCs/>
          <w:b/>
        </w:rPr>
        <w:t xml:space="preserve">Accountant</w:t>
      </w:r>
      <w:r>
        <w:t xml:space="preserve"> </w:t>
      </w:r>
      <w:r>
        <w:t xml:space="preserve">for clients based in Lima. The findings indicate a high level of technical proficiency. The subject demonstrates a thorough understanding of the Peruvian accounting framework. Specifically, the treatment of revenue recognition and expense allocation aligns with current standards.</w:t>
      </w:r>
    </w:p>
    <w:p>
      <w:pPr>
        <w:pStyle w:val="BodyText"/>
      </w:pPr>
      <w:r>
        <w:t xml:space="preserve">However, minor discrepancies were noted in the consolidation of financial statements for multi-entity groups. While the errors were not material, they suggest a need for enhanced review procedures when dealing with complex corporate structures common in Lima's business sector. The</w:t>
      </w:r>
      <w:r>
        <w:t xml:space="preserve"> </w:t>
      </w:r>
      <w:r>
        <w:rPr>
          <w:bCs/>
          <w:b/>
        </w:rPr>
        <w:t xml:space="preserve">Accountant</w:t>
      </w:r>
      <w:r>
        <w:t xml:space="preserve"> </w:t>
      </w:r>
      <w:r>
        <w:t xml:space="preserve">is advised to implement a secondary verification step for consolidation entries.</w:t>
      </w:r>
    </w:p>
    <w:bookmarkEnd w:id="23"/>
    <w:bookmarkStart w:id="24" w:name="tax-compliance-and-sunat-regulations"/>
    <w:p>
      <w:pPr>
        <w:pStyle w:val="Heading3"/>
      </w:pPr>
      <w:r>
        <w:t xml:space="preserve">3.2 Tax Compliance and SUNAT Regulations</w:t>
      </w:r>
    </w:p>
    <w:p>
      <w:pPr>
        <w:pStyle w:val="FirstParagraph"/>
      </w:pPr>
      <w:r>
        <w:t xml:space="preserve">Tax compliance is a critical component of the</w:t>
      </w:r>
      <w:r>
        <w:t xml:space="preserve"> </w:t>
      </w:r>
      <w:r>
        <w:rPr>
          <w:bCs/>
          <w:b/>
        </w:rPr>
        <w:t xml:space="preserve">Accountant</w:t>
      </w:r>
      <w:r>
        <w:t xml:space="preserve">'s role in</w:t>
      </w:r>
      <w:r>
        <w:t xml:space="preserve"> </w:t>
      </w:r>
      <w:r>
        <w:rPr>
          <w:bCs/>
          <w:b/>
        </w:rPr>
        <w:t xml:space="preserve">Peru Lima</w:t>
      </w:r>
      <w:r>
        <w:t xml:space="preserve">. The review confirms that the subject maintains up-to-date knowledge of SUNAT regulations. The electronic filing of tax returns was found to be timely and accurate. The implementation of the electronic invoicing system (Facturación Electrónica) was observed to be fully compliant with technical requirements.</w:t>
      </w:r>
    </w:p>
    <w:p>
      <w:pPr>
        <w:pStyle w:val="BodyText"/>
      </w:pPr>
      <w:r>
        <w:t xml:space="preserve">The</w:t>
      </w:r>
      <w:r>
        <w:t xml:space="preserve"> </w:t>
      </w:r>
      <w:r>
        <w:rPr>
          <w:bCs/>
          <w:b/>
        </w:rPr>
        <w:t xml:space="preserve">Accountant</w:t>
      </w:r>
      <w:r>
        <w:t xml:space="preserve"> </w:t>
      </w:r>
      <w:r>
        <w:t xml:space="preserve">effectively manages the calculation of the Impuesto General a las Ventas (IGV) and the Impuesto a la Renta. No instances of non-compliance or penalties were identified during the review period. This demonstrates a strong commitment to regulatory adherence, which is essential for maintaining the integrity of the financial sector in Lima.</w:t>
      </w:r>
    </w:p>
    <w:bookmarkEnd w:id="24"/>
    <w:bookmarkStart w:id="25" w:name="internal-controls-and-risk-management"/>
    <w:p>
      <w:pPr>
        <w:pStyle w:val="Heading3"/>
      </w:pPr>
      <w:r>
        <w:t xml:space="preserve">3.3 Internal Controls and Risk Management</w:t>
      </w:r>
    </w:p>
    <w:p>
      <w:pPr>
        <w:pStyle w:val="FirstParagraph"/>
      </w:pPr>
      <w:r>
        <w:t xml:space="preserve">The evaluation of internal controls revealed a structured approach to risk management. The</w:t>
      </w:r>
      <w:r>
        <w:t xml:space="preserve"> </w:t>
      </w:r>
      <w:r>
        <w:rPr>
          <w:bCs/>
          <w:b/>
        </w:rPr>
        <w:t xml:space="preserve">Accountant</w:t>
      </w:r>
      <w:r>
        <w:t xml:space="preserve"> </w:t>
      </w:r>
      <w:r>
        <w:t xml:space="preserve">has implemented segregation of duties and regular reconciliation processes. These controls are vital for ensuring the reliability of financial data.</w:t>
      </w:r>
    </w:p>
    <w:p>
      <w:pPr>
        <w:pStyle w:val="BodyText"/>
      </w:pPr>
      <w:r>
        <w:t xml:space="preserve">Recommendations include the adoption of more advanced digital tools for real-time monitoring of transactions. As the business environment in</w:t>
      </w:r>
      <w:r>
        <w:t xml:space="preserve"> </w:t>
      </w:r>
      <w:r>
        <w:rPr>
          <w:bCs/>
          <w:b/>
        </w:rPr>
        <w:t xml:space="preserve">Peru Lima</w:t>
      </w:r>
      <w:r>
        <w:t xml:space="preserve"> </w:t>
      </w:r>
      <w:r>
        <w:t xml:space="preserve">becomes increasingly digital, leveraging technology can further enhance the effectiveness of internal controls and reduce the risk of human error.</w:t>
      </w:r>
    </w:p>
    <w:bookmarkEnd w:id="25"/>
    <w:bookmarkEnd w:id="26"/>
    <w:bookmarkStart w:id="27" w:name="professional-ethics-and-conduct"/>
    <w:p>
      <w:pPr>
        <w:pStyle w:val="Heading2"/>
      </w:pPr>
      <w:r>
        <w:t xml:space="preserve">4. Professional Ethics and Conduct</w:t>
      </w:r>
    </w:p>
    <w:p>
      <w:pPr>
        <w:pStyle w:val="FirstParagraph"/>
      </w:pPr>
      <w:r>
        <w:t xml:space="preserve">Ethical conduct is paramount for any</w:t>
      </w:r>
      <w:r>
        <w:t xml:space="preserve"> </w:t>
      </w:r>
      <w:r>
        <w:rPr>
          <w:bCs/>
          <w:b/>
        </w:rPr>
        <w:t xml:space="preserve">Accountant</w:t>
      </w:r>
      <w:r>
        <w:t xml:space="preserve">. This</w:t>
      </w:r>
      <w:r>
        <w:t xml:space="preserve"> </w:t>
      </w:r>
      <w:r>
        <w:rPr>
          <w:bCs/>
          <w:b/>
        </w:rPr>
        <w:t xml:space="preserve">Peer Review Report</w:t>
      </w:r>
      <w:r>
        <w:t xml:space="preserve"> </w:t>
      </w:r>
      <w:r>
        <w:t xml:space="preserve">confirms that the subject adheres to the ethical guidelines set forth by the CCPL. There were no reports of conflicts of interest, breaches of confidentiality, or unethical behavior. The subject maintains professional independence and exercises due care in all professional engagements.</w:t>
      </w:r>
    </w:p>
    <w:bookmarkEnd w:id="27"/>
    <w:bookmarkStart w:id="28" w:name="conclusion-and-recommendations"/>
    <w:p>
      <w:pPr>
        <w:pStyle w:val="Heading2"/>
      </w:pPr>
      <w:r>
        <w:t xml:space="preserve">5. Conclusion and Recommendations</w:t>
      </w:r>
    </w:p>
    <w:p>
      <w:pPr>
        <w:pStyle w:val="FirstParagraph"/>
      </w:pPr>
      <w:r>
        <w:t xml:space="preserve">Based on the comprehensive evaluation conducted, the</w:t>
      </w:r>
      <w:r>
        <w:t xml:space="preserve"> </w:t>
      </w:r>
      <w:r>
        <w:rPr>
          <w:bCs/>
          <w:b/>
        </w:rPr>
        <w:t xml:space="preserve">Accountant</w:t>
      </w:r>
      <w:r>
        <w:t xml:space="preserve"> </w:t>
      </w:r>
      <w:r>
        <w:t xml:space="preserve">is deemed to be performing at a satisfactory level. The subject demonstrates the necessary technical skills, regulatory knowledge, and ethical standards required to operate effectively in</w:t>
      </w:r>
      <w:r>
        <w:t xml:space="preserve"> </w:t>
      </w:r>
      <w:r>
        <w:rPr>
          <w:bCs/>
          <w:b/>
        </w:rPr>
        <w:t xml:space="preserve">Peru Lima</w:t>
      </w:r>
      <w:r>
        <w:t xml:space="preserve">.</w:t>
      </w:r>
    </w:p>
    <w:p>
      <w:pPr>
        <w:pStyle w:val="BodyText"/>
      </w:pPr>
      <w:r>
        <w:rPr>
          <w:bCs/>
          <w:b/>
        </w:rPr>
        <w:t xml:space="preserve">Recommendations:</w:t>
      </w:r>
    </w:p>
    <w:p>
      <w:pPr>
        <w:numPr>
          <w:ilvl w:val="0"/>
          <w:numId w:val="1002"/>
        </w:numPr>
        <w:pStyle w:val="Compact"/>
      </w:pPr>
      <w:r>
        <w:t xml:space="preserve">Enhance review procedures for financial statement consolidations.</w:t>
      </w:r>
    </w:p>
    <w:p>
      <w:pPr>
        <w:numPr>
          <w:ilvl w:val="0"/>
          <w:numId w:val="1002"/>
        </w:numPr>
        <w:pStyle w:val="Compact"/>
      </w:pPr>
      <w:r>
        <w:t xml:space="preserve">Invest in advanced accounting software to improve internal control monitoring.</w:t>
      </w:r>
    </w:p>
    <w:p>
      <w:pPr>
        <w:numPr>
          <w:ilvl w:val="0"/>
          <w:numId w:val="1002"/>
        </w:numPr>
        <w:pStyle w:val="Compact"/>
      </w:pPr>
      <w:r>
        <w:t xml:space="preserve">Continue professional development to stay abreast of changes in Peruvian tax law and accounting standards.</w:t>
      </w:r>
    </w:p>
    <w:p>
      <w:pPr>
        <w:pStyle w:val="FirstParagraph"/>
      </w:pPr>
      <w:r>
        <w:t xml:space="preserve">This</w:t>
      </w:r>
      <w:r>
        <w:t xml:space="preserve"> </w:t>
      </w:r>
      <w:r>
        <w:rPr>
          <w:bCs/>
          <w:b/>
        </w:rPr>
        <w:t xml:space="preserve">Peer Review Report</w:t>
      </w:r>
      <w:r>
        <w:t xml:space="preserve"> </w:t>
      </w:r>
      <w:r>
        <w:t xml:space="preserve">serves as a formal record of the evaluation. It is intended to support the continuous improvement of accounting practices and to uphold the reputation of the profession in Lima, Peru.</w:t>
      </w:r>
    </w:p>
    <w:p>
      <w:pPr>
        <w:pStyle w:val="BodyText"/>
      </w:pPr>
      <w:r>
        <w:rPr>
          <w:bCs/>
          <w:b/>
        </w:rPr>
        <w:t xml:space="preserve">Reviewed By:</w:t>
      </w:r>
      <w:r>
        <w:br/>
      </w:r>
      <w:r>
        <w:t xml:space="preserve">Senior Peer Reviewer</w:t>
      </w:r>
      <w:r>
        <w:br/>
      </w:r>
      <w:r>
        <w:t xml:space="preserve">CCPL Accredited</w:t>
      </w:r>
    </w:p>
    <w:p>
      <w:pPr>
        <w:pStyle w:val="BodyText"/>
      </w:pPr>
      <w:r>
        <w:rPr>
          <w:bCs/>
          <w:b/>
        </w:rPr>
        <w:t xml:space="preserve">Approved By:</w:t>
      </w:r>
      <w:r>
        <w:br/>
      </w:r>
      <w:r>
        <w:t xml:space="preserve">Quality Assurance Committee</w:t>
      </w:r>
      <w:r>
        <w:br/>
      </w:r>
      <w:r>
        <w:t xml:space="preserve">Lima, Peru</w:t>
      </w:r>
    </w:p>
    <w:p>
      <w:pPr>
        <w:pStyle w:val="BodyText"/>
      </w:pPr>
      <w:r>
        <w:t xml:space="preserve">© 2023 Peer Review Committee. All rights reserved. This document is confidential and intended solely for the use of the subject entity.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Practices in Lima, Peru</dc:title>
  <dc:creator/>
  <dc:language>en</dc:language>
  <cp:keywords/>
  <dcterms:created xsi:type="dcterms:W3CDTF">2026-10-10T04:34:23Z</dcterms:created>
  <dcterms:modified xsi:type="dcterms:W3CDTF">2026-10-10T04:34:23Z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