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Accountant</w:t>
      </w:r>
      <w:r>
        <w:t xml:space="preserve"> </w:t>
      </w:r>
      <w:r>
        <w:t xml:space="preserve">-</w:t>
      </w:r>
      <w:r>
        <w:t xml:space="preserve"> </w:t>
      </w:r>
      <w:r>
        <w:t xml:space="preserve">Jeddah,</w:t>
      </w:r>
      <w:r>
        <w:t xml:space="preserve"> </w:t>
      </w:r>
      <w:r>
        <w:t xml:space="preserve">Saudi</w:t>
      </w:r>
      <w:r>
        <w:t xml:space="preserve"> </w:t>
      </w:r>
      <w:r>
        <w:t xml:space="preserve">Arabia</w:t>
      </w:r>
    </w:p>
    <w:bookmarkStart w:id="29" w:name="peer-review-report"/>
    <w:p>
      <w:pPr>
        <w:pStyle w:val="Heading1"/>
      </w:pPr>
      <w:r>
        <w:t xml:space="preserve">Peer Review Report</w:t>
      </w:r>
    </w:p>
    <w:p>
      <w:pPr>
        <w:pStyle w:val="FirstParagraph"/>
      </w:pPr>
      <w:r>
        <w:rPr>
          <w:bCs/>
          <w:b/>
        </w:rPr>
        <w:t xml:space="preserve">Subject:</w:t>
      </w:r>
      <w:r>
        <w:t xml:space="preserve"> </w:t>
      </w:r>
      <w:r>
        <w:t xml:space="preserve">Professional Competency and Compliance Review</w:t>
      </w:r>
      <w:r>
        <w:br/>
      </w:r>
      <w:r>
        <w:rPr>
          <w:bCs/>
          <w:b/>
        </w:rPr>
        <w:t xml:space="preserve">Role:</w:t>
      </w:r>
      <w:r>
        <w:t xml:space="preserve"> </w:t>
      </w:r>
      <w:r>
        <w:t xml:space="preserve">Accountant</w:t>
      </w:r>
      <w:r>
        <w:br/>
      </w:r>
      <w:r>
        <w:rPr>
          <w:bCs/>
          <w:b/>
        </w:rPr>
        <w:t xml:space="preserve">Location:</w:t>
      </w:r>
      <w:r>
        <w:t xml:space="preserve"> </w:t>
      </w:r>
      <w:r>
        <w:t xml:space="preserve">Jeddah, Saudi Arabia</w:t>
      </w:r>
      <w:r>
        <w:br/>
      </w:r>
      <w:r>
        <w:rPr>
          <w:bCs/>
          <w:b/>
        </w:rPr>
        <w:t xml:space="preserve">Date:</w:t>
      </w:r>
      <w:r>
        <w:t xml:space="preserve"> </w:t>
      </w:r>
      <w:r>
        <w:t xml:space="preserve">October 24, 2023</w:t>
      </w:r>
    </w:p>
    <w:p>
      <w:pPr>
        <w:pStyle w:val="BodyText"/>
      </w:pPr>
      <w:r>
        <w:rPr>
          <w:bCs/>
          <w:b/>
        </w:rPr>
        <w:t xml:space="preserve">Review ID:</w:t>
      </w:r>
      <w:r>
        <w:t xml:space="preserve"> </w:t>
      </w:r>
      <w:r>
        <w:t xml:space="preserve">PR-JED-2023-089</w:t>
      </w:r>
      <w:r>
        <w:br/>
      </w:r>
      <w:r>
        <w:rPr>
          <w:bCs/>
          <w:b/>
        </w:rPr>
        <w:t xml:space="preserve">Reviewer:</w:t>
      </w:r>
      <w:r>
        <w:t xml:space="preserve"> </w:t>
      </w:r>
      <w:r>
        <w:t xml:space="preserve">Senior Audit Partner</w:t>
      </w:r>
      <w:r>
        <w:br/>
      </w:r>
      <w:r>
        <w:rPr>
          <w:bCs/>
          <w:b/>
        </w:rPr>
        <w:t xml:space="preserve">Status:</w:t>
      </w:r>
      <w:r>
        <w:t xml:space="preserve"> </w:t>
      </w:r>
      <w:r>
        <w:t xml:space="preserve">Completed</w:t>
      </w:r>
    </w:p>
    <w:bookmarkStart w:id="20" w:name="executive-summary"/>
    <w:p>
      <w:pPr>
        <w:pStyle w:val="Heading2"/>
      </w:pPr>
      <w:r>
        <w:t xml:space="preserve">1. Executive Summary</w:t>
      </w:r>
    </w:p>
    <w:p>
      <w:pPr>
        <w:pStyle w:val="FirstParagraph"/>
      </w:pPr>
      <w:r>
        <w:t xml:space="preserve">This Peer Review Report has been prepared to evaluate the professional performance, technical competence, and regulatory compliance of the designated Accountant operating within the commercial hub of Jeddah, Saudi Arabia. The review focuses on the individual's adherence to International Financial Reporting Standards (IFRS), the Saudi Organization for Chartered and Professional Accountants (SOCPA) code of ethics, and the specific fiscal regulations enforced by the Zakat, Tax and Customs Authority (ZATCA).</w:t>
      </w:r>
    </w:p>
    <w:p>
      <w:pPr>
        <w:pStyle w:val="BodyText"/>
      </w:pPr>
      <w:r>
        <w:t xml:space="preserve">The objective of this assessment is to ensure that the financial reporting processes managed by the Accountant in Jeddah maintain the highest levels of integrity, accuracy, and transparency, aligning with the Kingdom's Vision 2030 economic reforms.</w:t>
      </w:r>
    </w:p>
    <w:bookmarkEnd w:id="20"/>
    <w:bookmarkStart w:id="21" w:name="scope-of-the-review"/>
    <w:p>
      <w:pPr>
        <w:pStyle w:val="Heading2"/>
      </w:pPr>
      <w:r>
        <w:t xml:space="preserve">2. Scope of the Review</w:t>
      </w:r>
    </w:p>
    <w:p>
      <w:pPr>
        <w:pStyle w:val="FirstParagraph"/>
      </w:pPr>
      <w:r>
        <w:t xml:space="preserve">The scope of this Peer Review Report encompasses a comprehensive analysis of the Accountant's work over the last fiscal quarter. The review specifically targets the following areas relevant to the Jeddah business environment:</w:t>
      </w:r>
    </w:p>
    <w:p>
      <w:pPr>
        <w:numPr>
          <w:ilvl w:val="0"/>
          <w:numId w:val="1001"/>
        </w:numPr>
        <w:pStyle w:val="Compact"/>
      </w:pPr>
      <w:r>
        <w:t xml:space="preserve">Preparation and presentation of financial statements in accordance with IFRS.</w:t>
      </w:r>
    </w:p>
    <w:p>
      <w:pPr>
        <w:numPr>
          <w:ilvl w:val="0"/>
          <w:numId w:val="1001"/>
        </w:numPr>
        <w:pStyle w:val="Compact"/>
      </w:pPr>
      <w:r>
        <w:t xml:space="preserve">Compliance with the Value Added Tax (VAT) laws and Zakat calculations specific to Saudi Arabia.</w:t>
      </w:r>
    </w:p>
    <w:p>
      <w:pPr>
        <w:numPr>
          <w:ilvl w:val="0"/>
          <w:numId w:val="1001"/>
        </w:numPr>
        <w:pStyle w:val="Compact"/>
      </w:pPr>
      <w:r>
        <w:t xml:space="preserve">Implementation of internal controls and risk management protocols.</w:t>
      </w:r>
    </w:p>
    <w:p>
      <w:pPr>
        <w:numPr>
          <w:ilvl w:val="0"/>
          <w:numId w:val="1001"/>
        </w:numPr>
        <w:pStyle w:val="Compact"/>
      </w:pPr>
      <w:r>
        <w:t xml:space="preserve">Adherence to the SOCPA Code of Professional Conduct.</w:t>
      </w:r>
    </w:p>
    <w:p>
      <w:pPr>
        <w:numPr>
          <w:ilvl w:val="0"/>
          <w:numId w:val="1001"/>
        </w:numPr>
        <w:pStyle w:val="Compact"/>
      </w:pPr>
      <w:r>
        <w:t xml:space="preserve">Accuracy of payroll processing and compliance with the Saudi Labor Law.</w:t>
      </w:r>
    </w:p>
    <w:bookmarkEnd w:id="21"/>
    <w:bookmarkStart w:id="24" w:name="X2d52d5904558ecde737553bef4285b0c6b9c1bd"/>
    <w:p>
      <w:pPr>
        <w:pStyle w:val="Heading2"/>
      </w:pPr>
      <w:r>
        <w:t xml:space="preserve">3. Technical Competence and Financial Reporting</w:t>
      </w:r>
    </w:p>
    <w:bookmarkStart w:id="22" w:name="application-of-ifrs"/>
    <w:p>
      <w:pPr>
        <w:pStyle w:val="Heading3"/>
      </w:pPr>
      <w:r>
        <w:t xml:space="preserve">3.1 Application of IFRS</w:t>
      </w:r>
    </w:p>
    <w:p>
      <w:pPr>
        <w:pStyle w:val="FirstParagraph"/>
      </w:pPr>
      <w:r>
        <w:t xml:space="preserve">The Accountant has demonstrated a robust understanding of International Financial Reporting Standards. During the review of the general ledger and trial balance for the Jeddah branch, it was observed that revenue recognition policies are applied consistently with IFRS 15. The treatment of lease agreements under IFRS 16 has been accurately reflected in the balance sheet, ensuring that off-balance-sheet liabilities are properly recognized.</w:t>
      </w:r>
    </w:p>
    <w:bookmarkEnd w:id="22"/>
    <w:bookmarkStart w:id="23" w:name="zakat-and-tax-compliance"/>
    <w:p>
      <w:pPr>
        <w:pStyle w:val="Heading3"/>
      </w:pPr>
      <w:r>
        <w:t xml:space="preserve">3.2 Zakat and Tax Compliance</w:t>
      </w:r>
    </w:p>
    <w:p>
      <w:pPr>
        <w:pStyle w:val="FirstParagraph"/>
      </w:pPr>
      <w:r>
        <w:t xml:space="preserve">A critical component of this Peer Review Report is the assessment of tax compliance. The Accountant has shown proficiency in navigating the complex tax landscape of Saudi Arabia. The calculation of Zakat on the net wealth of the entity was verified against the ZATCA guidelines. Furthermore, the VAT returns filed for the Jeddah operations were cross-referenced with the Fatoora system data, revealing no discrepancies. The Accountant correctly applied the 15% VAT rate to taxable supplies and accurately claimed input tax credits where eligible.</w:t>
      </w:r>
    </w:p>
    <w:bookmarkEnd w:id="23"/>
    <w:bookmarkEnd w:id="24"/>
    <w:bookmarkStart w:id="25" w:name="regulatory-compliance-and-ethics"/>
    <w:p>
      <w:pPr>
        <w:pStyle w:val="Heading2"/>
      </w:pPr>
      <w:r>
        <w:t xml:space="preserve">4. Regulatory Compliance and Ethics</w:t>
      </w:r>
    </w:p>
    <w:p>
      <w:pPr>
        <w:pStyle w:val="FirstParagraph"/>
      </w:pPr>
      <w:r>
        <w:t xml:space="preserve">Operating in Jeddah requires strict adherence to local regulations. This review confirms that the Accountant maintains independence and objectivity as required by the SOCPA. There were no conflicts of interest identified during the review period. The Accountant has also ensured that all financial records are maintained in Arabic and English where necessary, complying with the localization requirements of the Saudi government.</w:t>
      </w:r>
    </w:p>
    <w:p>
      <w:pPr>
        <w:pStyle w:val="BodyText"/>
      </w:pPr>
      <w:r>
        <w:t xml:space="preserve">Additionally, the review examined the Accountant's handling of sensitive financial data. It was noted that data privacy protocols align with the Personal Data Protection Law (PDPL) of Saudi Arabia, ensuring that employee and client information is secured against unauthorized access.</w:t>
      </w:r>
    </w:p>
    <w:bookmarkEnd w:id="25"/>
    <w:bookmarkStart w:id="26" w:name="X883bb779255a27b7e10c00097b26621550085f7"/>
    <w:p>
      <w:pPr>
        <w:pStyle w:val="Heading2"/>
      </w:pPr>
      <w:r>
        <w:t xml:space="preserve">5. Operational Efficiency and Internal Controls</w:t>
      </w:r>
    </w:p>
    <w:p>
      <w:pPr>
        <w:pStyle w:val="FirstParagraph"/>
      </w:pPr>
      <w:r>
        <w:t xml:space="preserve">The internal control environment managed by the Accountant in Jeddah is generally effective. Segregation of duties between accounts payable, accounts receivable, and cash management is clearly defined. However, this Peer Review Report identifies a minor area for improvement regarding the approval workflow for high-value expenditures. While the current system is functional, implementing a digital approval matrix would enhance audit trails and reduce processing time.</w:t>
      </w:r>
    </w:p>
    <w:p>
      <w:pPr>
        <w:pStyle w:val="BodyText"/>
      </w:pPr>
      <w:r>
        <w:t xml:space="preserve">The Accountant has successfully integrated cloud-based accounting software, which has improved the real-time visibility of financial data for stakeholders in Jeddah and Riyadh. This technological adoption supports the broader digital transformation goals of the Saudi financial sector.</w:t>
      </w:r>
    </w:p>
    <w:bookmarkEnd w:id="26"/>
    <w:bookmarkStart w:id="27" w:name="findings-and-recommendations"/>
    <w:p>
      <w:pPr>
        <w:pStyle w:val="Heading2"/>
      </w:pPr>
      <w:r>
        <w:t xml:space="preserve">6. Findings and Recommendations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Reference</w:t>
            </w:r>
          </w:p>
        </w:tc>
        <w:tc>
          <w:tcPr/>
          <w:p>
            <w:pPr>
              <w:pStyle w:val="Compact"/>
              <w:jc w:val="left"/>
            </w:pPr>
            <w:r>
              <w:t xml:space="preserve">Finding</w:t>
            </w:r>
          </w:p>
        </w:tc>
        <w:tc>
          <w:tcPr/>
          <w:p>
            <w:pPr>
              <w:pStyle w:val="Compact"/>
              <w:jc w:val="left"/>
            </w:pPr>
            <w:r>
              <w:t xml:space="preserve">Risk Level</w:t>
            </w:r>
          </w:p>
        </w:tc>
        <w:tc>
          <w:tcPr/>
          <w:p>
            <w:pPr>
              <w:pStyle w:val="Compact"/>
              <w:jc w:val="left"/>
            </w:pPr>
            <w:r>
              <w:t xml:space="preserve">Recommendation</w:t>
            </w:r>
          </w:p>
        </w:tc>
      </w:tr>
      <w:tr>
        <w:tc>
          <w:tcPr/>
          <w:p>
            <w:pPr>
              <w:pStyle w:val="Compact"/>
              <w:jc w:val="left"/>
            </w:pPr>
            <w:r>
              <w:t xml:space="preserve">F-01</w:t>
            </w:r>
          </w:p>
        </w:tc>
        <w:tc>
          <w:tcPr/>
          <w:p>
            <w:pPr>
              <w:pStyle w:val="Compact"/>
              <w:jc w:val="left"/>
            </w:pPr>
            <w:r>
              <w:t xml:space="preserve">Minor delay in archiving physical invoices for the Jeddah warehouse.</w:t>
            </w:r>
          </w:p>
        </w:tc>
        <w:tc>
          <w:tcPr/>
          <w:p>
            <w:pPr>
              <w:pStyle w:val="Compact"/>
              <w:jc w:val="left"/>
            </w:pPr>
            <w:r>
              <w:t xml:space="preserve">Low</w:t>
            </w:r>
          </w:p>
        </w:tc>
        <w:tc>
          <w:tcPr/>
          <w:p>
            <w:pPr>
              <w:pStyle w:val="Compact"/>
              <w:jc w:val="left"/>
            </w:pPr>
            <w:r>
              <w:t xml:space="preserve">Implement a stricter document retention schedule aligned with ZATCA audit requirements.</w:t>
            </w:r>
          </w:p>
        </w:tc>
      </w:tr>
      <w:tr>
        <w:tc>
          <w:tcPr/>
          <w:p>
            <w:pPr>
              <w:pStyle w:val="Compact"/>
              <w:jc w:val="left"/>
            </w:pPr>
            <w:r>
              <w:t xml:space="preserve">F-02</w:t>
            </w:r>
          </w:p>
        </w:tc>
        <w:tc>
          <w:tcPr/>
          <w:p>
            <w:pPr>
              <w:pStyle w:val="Compact"/>
              <w:jc w:val="left"/>
            </w:pPr>
            <w:r>
              <w:t xml:space="preserve">Lack of formal training records for new staff on VAT procedures.</w:t>
            </w:r>
          </w:p>
        </w:tc>
        <w:tc>
          <w:tcPr/>
          <w:p>
            <w:pPr>
              <w:pStyle w:val="Compact"/>
              <w:jc w:val="left"/>
            </w:pPr>
            <w:r>
              <w:t xml:space="preserve">Medium</w:t>
            </w:r>
          </w:p>
        </w:tc>
        <w:tc>
          <w:tcPr/>
          <w:p>
            <w:pPr>
              <w:pStyle w:val="Compact"/>
              <w:jc w:val="left"/>
            </w:pPr>
            <w:r>
              <w:t xml:space="preserve">Develop a mandatory training module for all accounting staff regarding Saudi VAT updates.</w:t>
            </w:r>
          </w:p>
        </w:tc>
      </w:tr>
      <w:tr>
        <w:tc>
          <w:tcPr/>
          <w:p>
            <w:pPr>
              <w:pStyle w:val="Compact"/>
              <w:jc w:val="left"/>
            </w:pPr>
            <w:r>
              <w:t xml:space="preserve">F-03</w:t>
            </w:r>
          </w:p>
        </w:tc>
        <w:tc>
          <w:tcPr/>
          <w:p>
            <w:pPr>
              <w:pStyle w:val="Compact"/>
              <w:jc w:val="left"/>
            </w:pPr>
            <w:r>
              <w:t xml:space="preserve">Excellent reconciliation of bank accounts and ZATCA portal data.</w:t>
            </w:r>
          </w:p>
        </w:tc>
        <w:tc>
          <w:tcPr/>
          <w:p>
            <w:pPr>
              <w:pStyle w:val="Compact"/>
              <w:jc w:val="left"/>
            </w:pPr>
            <w:r>
              <w:t xml:space="preserve">N/A</w:t>
            </w:r>
          </w:p>
        </w:tc>
        <w:tc>
          <w:tcPr/>
          <w:p>
            <w:pPr>
              <w:pStyle w:val="Compact"/>
              <w:jc w:val="left"/>
            </w:pPr>
            <w:r>
              <w:t xml:space="preserve">Maintain current high standards of reconciliation.</w:t>
            </w:r>
          </w:p>
        </w:tc>
      </w:tr>
    </w:tbl>
    <w:bookmarkEnd w:id="27"/>
    <w:bookmarkStart w:id="28" w:name="conclusion"/>
    <w:p>
      <w:pPr>
        <w:pStyle w:val="Heading2"/>
      </w:pPr>
      <w:r>
        <w:t xml:space="preserve">7. Conclusion</w:t>
      </w:r>
    </w:p>
    <w:p>
      <w:pPr>
        <w:pStyle w:val="FirstParagraph"/>
      </w:pPr>
      <w:r>
        <w:t xml:space="preserve">Based on the evidence gathered during this Peer Review Report, the Accountant operating in Jeddah, Saudi Arabia, is deemed competent and compliant. The individual demonstrates a strong command of both international accounting standards and local Saudi regulations. The financial statements produced are reliable, and the tax obligations are met with precision.</w:t>
      </w:r>
    </w:p>
    <w:p>
      <w:pPr>
        <w:pStyle w:val="BodyText"/>
      </w:pPr>
      <w:r>
        <w:t xml:space="preserve">The recommendations outlined in Section 6 are intended to further strengthen the accounting function and mitigate minor operational risks. Overall, the Accountant contributes significantly to the financial stability and regulatory standing of the organization within the Kingdom.</w:t>
      </w:r>
    </w:p>
    <w:bookmarkEnd w:id="28"/>
    <w:p>
      <w:pPr>
        <w:pStyle w:val="BodyText"/>
      </w:pPr>
      <w:r>
        <w:rPr>
          <w:bCs/>
          <w:b/>
        </w:rPr>
        <w:t xml:space="preserve">Reviewed By:</w:t>
      </w:r>
    </w:p>
    <w:p>
      <w:pPr>
        <w:pStyle w:val="BodyText"/>
      </w:pPr>
      <w:r>
        <w:t xml:space="preserve">Senior Audit Partner</w:t>
      </w:r>
    </w:p>
    <w:p>
      <w:pPr>
        <w:pStyle w:val="BodyText"/>
      </w:pPr>
      <w:r>
        <w:t xml:space="preserve">SOCPA Member</w:t>
      </w:r>
    </w:p>
    <w:p>
      <w:pPr>
        <w:pStyle w:val="BodyText"/>
      </w:pPr>
      <w:r>
        <w:rPr>
          <w:bCs/>
          <w:b/>
        </w:rPr>
        <w:t xml:space="preserve">Reviewed For:</w:t>
      </w:r>
    </w:p>
    <w:p>
      <w:pPr>
        <w:pStyle w:val="BodyText"/>
      </w:pPr>
      <w:r>
        <w:t xml:space="preserve">Accountant</w:t>
      </w:r>
    </w:p>
    <w:p>
      <w:pPr>
        <w:pStyle w:val="BodyText"/>
      </w:pPr>
      <w:r>
        <w:t xml:space="preserve">Jeddah Operations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Accountant - Jeddah, Saudi Arabia</dc:title>
  <dc:creator/>
  <dc:language>en</dc:language>
  <cp:keywords/>
  <dcterms:created xsi:type="dcterms:W3CDTF">2026-10-10T07:07:35Z</dcterms:created>
  <dcterms:modified xsi:type="dcterms:W3CDTF">2026-10-10T07:07:35Z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