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Accountant</w:t>
      </w:r>
    </w:p>
    <w:p>
      <w:pPr>
        <w:pStyle w:val="BodyText"/>
      </w:pPr>
      <w:r>
        <w:rPr>
          <w:bCs/>
          <w:b/>
        </w:rPr>
        <w:t xml:space="preserve">Location:</w:t>
      </w:r>
      <w:r>
        <w:t xml:space="preserve"> </w:t>
      </w:r>
      <w:r>
        <w:t xml:space="preserve">Riyadh, Saudi Arabia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competencies, technical skills, and ethical adherence of the designated Accountant operating within the financial sector of Riyadh, Saudi Arabia. The purpose of this document is to evaluate the individual's alignment with the rigorous standards set by the Organization of Saudi Chartered and Certified Accountants (OSCCA) and the broader regulatory framework governing financial reporting in the Kingdom.</w:t>
      </w:r>
    </w:p>
    <w:p>
      <w:pPr>
        <w:pStyle w:val="BodyText"/>
      </w:pPr>
      <w:r>
        <w:t xml:space="preserve">The review focuses on the Accountant's ability to navigate the complexities of the Saudi financial landscape, including compliance with Zakat, Tax and Customs Authority (ZATCA) regulations, the implementation of International Financial Reporting Standards (IFRS), and the adaptation to Vision 2030 economic reforms. The findings presented herein are based on a comprehensive analysis of work samples, peer feedback, and direct observation of daily operational procedures.</w:t>
      </w:r>
    </w:p>
    <w:bookmarkEnd w:id="21"/>
    <w:bookmarkStart w:id="22" w:name="X60f1e187eb1765586cc790a5682a2ff8b819a0b"/>
    <w:p>
      <w:pPr>
        <w:pStyle w:val="Heading2"/>
      </w:pPr>
      <w:r>
        <w:t xml:space="preserve">2. Regulatory Compliance and Local Knowledge</w:t>
      </w:r>
    </w:p>
    <w:p>
      <w:pPr>
        <w:pStyle w:val="FirstParagraph"/>
      </w:pPr>
      <w:r>
        <w:t xml:space="preserve">A critical aspect of this Peer Review Report is the evaluation of the Accountant's proficiency in local statutory requirements. Operating in Riyadh requires a nuanced understanding of the Kingdom's evolving fiscal policies. The Accountant has demonstrated a commendable grasp of the Value Added Tax (VAT) laws and the Corporate Income Tax regulations applicable to foreign and local entities.</w:t>
      </w:r>
    </w:p>
    <w:p>
      <w:pPr>
        <w:pStyle w:val="BodyText"/>
      </w:pPr>
      <w:r>
        <w:t xml:space="preserve">Specifically, the review highlights the Accountant's successful management of e-invoicing mandates introduced by ZATCA. The transition to Phase 2 of the e-invoicing system was handled with precision, ensuring that all fiscal data was integrated correctly into the company's ERP system. This technical competence is vital for any Accountant in Saudi Arabia Riyadh, as non-compliance carries significant financial penalties. Furthermore, the calculation and filing of Zakat were executed accurately, reflecting a deep understanding of the Islamic financial principles that underpin the Kingdom's taxation system.</w:t>
      </w:r>
    </w:p>
    <w:bookmarkEnd w:id="22"/>
    <w:bookmarkStart w:id="23" w:name="Xd2df928aea7dd4bc44a5b7f688fa838b9de30f8"/>
    <w:p>
      <w:pPr>
        <w:pStyle w:val="Heading2"/>
      </w:pPr>
      <w:r>
        <w:t xml:space="preserve">3. Technical Proficiency and Financial Reporting</w:t>
      </w:r>
    </w:p>
    <w:p>
      <w:pPr>
        <w:pStyle w:val="FirstParagraph"/>
      </w:pPr>
      <w:r>
        <w:t xml:space="preserve">The core function of the Accountant was scrutinized regarding the preparation of financial statements. The review confirms that all financial reports generated during the assessment period adhere strictly to IFRS, which is mandatory for listed companies and increasingly adopted by private enterprises in Riyadh. The clarity, accuracy, and timeliness of the monthly and quarterly reports were rated highly.</w:t>
      </w:r>
    </w:p>
    <w:p>
      <w:pPr>
        <w:pStyle w:val="BodyText"/>
      </w:pPr>
      <w:r>
        <w:t xml:space="preserve">The Accountant demonstrated advanced skills in financial analysis, providing stakeholders with actionable insights rather than mere data aggregation. The use of modern accounting software and digital tools was evident, showcasing an ability to leverage technology to enhance efficiency. This is particularly relevant in Riyadh, where the push for digital transformation in the financial sector is accelerating. The Accountant's ability to reconcile complex bank statements and manage multi-currency transactions was also noted as a strong point, reflecting the international nature of business in the capital city.</w:t>
      </w:r>
    </w:p>
    <w:bookmarkEnd w:id="23"/>
    <w:bookmarkStart w:id="24" w:name="X4ce211acb8b02978b825403f312638d11fa1afd"/>
    <w:p>
      <w:pPr>
        <w:pStyle w:val="Heading2"/>
      </w:pPr>
      <w:r>
        <w:t xml:space="preserve">4. Ethical Standards and Professional Conduct</w:t>
      </w:r>
    </w:p>
    <w:p>
      <w:pPr>
        <w:pStyle w:val="FirstParagraph"/>
      </w:pPr>
      <w:r>
        <w:t xml:space="preserve">Integrity is the cornerstone of the accounting profession. This Peer Review Report places significant emphasis on the ethical conduct of the Accountant. The individual has consistently upheld the code of ethics prescribed by the OSCCA, demonstrating objectivity, professional competence, and confidentiality.</w:t>
      </w:r>
    </w:p>
    <w:p>
      <w:pPr>
        <w:pStyle w:val="BodyText"/>
      </w:pPr>
      <w:r>
        <w:t xml:space="preserve">In the context of Saudi Arabia Riyadh, where business relationships are deeply rooted in trust and personal interaction, the Accountant's professional demeanor has been exemplary. There were no instances of conflict of interest or ethical breaches identified during the review period. The Accountant maintained strict confidentiality regarding sensitive financial data, ensuring that proprietary information was protected in accordance with both company policy and Saudi data protection laws.</w:t>
      </w:r>
    </w:p>
    <w:bookmarkEnd w:id="24"/>
    <w:bookmarkStart w:id="25" w:name="communication-and-collaboration"/>
    <w:p>
      <w:pPr>
        <w:pStyle w:val="Heading2"/>
      </w:pPr>
      <w:r>
        <w:t xml:space="preserve">5. Communication and Collaboration</w:t>
      </w:r>
    </w:p>
    <w:p>
      <w:pPr>
        <w:pStyle w:val="FirstParagraph"/>
      </w:pPr>
      <w:r>
        <w:t xml:space="preserve">Effective communication is essential for an Accountant to bridge the gap between financial data and strategic decision-making. The review indicates that the Accountant possesses strong communication skills, capable of explaining complex financial concepts to non-financial stakeholders in clear and concise terms.</w:t>
      </w:r>
    </w:p>
    <w:p>
      <w:pPr>
        <w:pStyle w:val="BodyText"/>
      </w:pPr>
      <w:r>
        <w:t xml:space="preserve">Collaboration with cross-functional teams in Riyadh was seamless. The Accountant worked closely with the legal department to ensure contract compliance and with the operations team to optimize cost structures. The ability to communicate in both English and Arabic was noted as a significant asset, facilitating smoother interactions with local authorities and diverse team members within the Kingdom.</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satisfactory, this Peer Review Report identifies areas for further development. To remain competitive in the dynamic market of Saudi Arabia Riyadh, the Accountant is encouraged to pursue advanced certifications in forensic accounting or data analytics. As the Kingdom continues to diversify its economy under Vision 2030, the demand for accountants who can interpret big data and detect financial anomalies will increase.</w:t>
      </w:r>
    </w:p>
    <w:p>
      <w:pPr>
        <w:pStyle w:val="BodyText"/>
      </w:pPr>
      <w:r>
        <w:t xml:space="preserve">Additionally, while knowledge of current regulations is strong, proactive engagement with upcoming regulatory changes is recommended. The Accountant should actively participate in OSCCA workshops and seminars to stay ahead of legislative shifts. Enhancing strategic financial planning skills will also be beneficial, moving the role from a compliance-focused position to a strategic business partner.</w:t>
      </w:r>
    </w:p>
    <w:bookmarkEnd w:id="26"/>
    <w:bookmarkStart w:id="27" w:name="conclusion"/>
    <w:p>
      <w:pPr>
        <w:pStyle w:val="Heading2"/>
      </w:pPr>
      <w:r>
        <w:t xml:space="preserve">7. Conclusion</w:t>
      </w:r>
    </w:p>
    <w:p>
      <w:pPr>
        <w:pStyle w:val="FirstParagraph"/>
      </w:pPr>
      <w:r>
        <w:t xml:space="preserve">In conclusion, this Peer Review Report affirms that the Accountant meets the high standards required for professional practice in Riyadh, Saudi Arabia. The individual has demonstrated technical excellence, regulatory compliance, and ethical integrity. With continued professional development and a focus on strategic financial management, the Accountant is well-positioned to contribute significantly to the organization's success and the broader financial ecosystem of the Kingdom.</w:t>
      </w:r>
    </w:p>
    <w:bookmarkEnd w:id="27"/>
    <w:p>
      <w:pPr>
        <w:pStyle w:val="BodyText"/>
      </w:pPr>
      <w:r>
        <w:rPr>
          <w:bCs/>
          <w:b/>
        </w:rPr>
        <w:t xml:space="preserve">Reviewed By:</w:t>
      </w:r>
    </w:p>
    <w:p>
      <w:pPr>
        <w:pStyle w:val="BodyText"/>
      </w:pPr>
      <w:r>
        <w:t xml:space="preserve">Senior Audit Partner</w:t>
      </w:r>
    </w:p>
    <w:p>
      <w:pPr>
        <w:pStyle w:val="BodyText"/>
      </w:pPr>
      <w:r>
        <w:t xml:space="preserve">Organization of Saudi Chartered and Certified Accountants (OSCCA)</w:t>
      </w:r>
    </w:p>
    <w:p>
      <w:pPr>
        <w:pStyle w:val="BodyText"/>
      </w:pPr>
      <w:r>
        <w:rPr>
          <w:bCs/>
          <w:b/>
        </w:rPr>
        <w:t xml:space="preserve">Reviewed For:</w:t>
      </w:r>
    </w:p>
    <w:p>
      <w:pPr>
        <w:pStyle w:val="BodyText"/>
      </w:pPr>
      <w:r>
        <w:t xml:space="preserve">Accountant</w:t>
      </w:r>
    </w:p>
    <w:p>
      <w:pPr>
        <w:pStyle w:val="BodyText"/>
      </w:pPr>
      <w:r>
        <w:t xml:space="preserve">Riyadh Financial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Performance Evaluation</dc:title>
  <dc:creator/>
  <dc:language>en</dc:language>
  <cp:keywords/>
  <dcterms:created xsi:type="dcterms:W3CDTF">2026-10-10T01:58:43Z</dcterms:created>
  <dcterms:modified xsi:type="dcterms:W3CDTF">2026-10-10T01:58:43Z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