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Ethical Compliance of the Accountant</w:t>
      </w:r>
    </w:p>
    <w:p>
      <w:pPr>
        <w:pStyle w:val="BodyText"/>
      </w:pPr>
      <w:r>
        <w:rPr>
          <w:bCs/>
          <w:b/>
        </w:rPr>
        <w:t xml:space="preserve">Jurisdiction:</w:t>
      </w:r>
      <w:r>
        <w:t xml:space="preserve"> </w:t>
      </w:r>
      <w:r>
        <w:t xml:space="preserve">Singapore</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competence, and ethical adherence of the Accountant under review. The review is conducted within the regulatory framework of Singapore, adhering to the standards set forth by the Accounting and Corporate Regulatory Authority (ACRA) and the Institute of Singapore Chartered Accountants (ISCA). The primary objective of this assessment is to ensure that the Accountant maintains the highest standards of integrity, objectivity, and professional proficiency required by the Singaporean financial landscape.</w:t>
      </w:r>
    </w:p>
    <w:p>
      <w:pPr>
        <w:pStyle w:val="BodyText"/>
      </w:pPr>
      <w:r>
        <w:t xml:space="preserve">The scope of this Peer Review Report encompasses a comprehensive analysis of the Accountant’s recent audit engagements, financial reporting practices, and compliance with the Singapore Financial Reporting Standards (SFRS). Furthermore, the review assesses the Accountant’s ability to navigate the complex regulatory environment of Singapore, ensuring that all statutory obligations are met with precision and diligence.</w:t>
      </w:r>
    </w:p>
    <w:bookmarkEnd w:id="21"/>
    <w:bookmarkStart w:id="22" w:name="regulatory-framework-and-standards"/>
    <w:p>
      <w:pPr>
        <w:pStyle w:val="Heading2"/>
      </w:pPr>
      <w:r>
        <w:t xml:space="preserve">2. Regulatory Framework and Standards</w:t>
      </w:r>
    </w:p>
    <w:p>
      <w:pPr>
        <w:pStyle w:val="FirstParagraph"/>
      </w:pPr>
      <w:r>
        <w:t xml:space="preserve">In Singapore, the role of the Accountant is governed by strict legislative requirements, including the Companies Act and the Code of Professional Conduct and Ethics. This Peer Review Report evaluates the Accountant’s alignment with these critical frameworks. The review specifically examines whether the Accountant has demonstrated a thorough understanding of the SFRS(I), which is aligned with International Financial Reporting Standards (IFRS), ensuring that financial statements prepared or audited are transparent, accurate, and comparable.</w:t>
      </w:r>
    </w:p>
    <w:p>
      <w:pPr>
        <w:pStyle w:val="BodyText"/>
      </w:pPr>
      <w:r>
        <w:t xml:space="preserve">Additionally, the review considers the Accountant’s adherence to the ISCA Code of Ethics, particularly regarding independence, confidentiality, and professional behavior. Given the global nature of Singapore’s financial hub status, the Accountant is expected to exhibit a level of competence that meets both local expectations and international best practices. This Peer Review Report serves as a vital mechanism to verify that these high standards are consistently upheld.</w:t>
      </w:r>
    </w:p>
    <w:bookmarkEnd w:id="22"/>
    <w:bookmarkStart w:id="23" w:name="technical-competence-and-audit-quality"/>
    <w:p>
      <w:pPr>
        <w:pStyle w:val="Heading2"/>
      </w:pPr>
      <w:r>
        <w:t xml:space="preserve">3. Technical Competence and Audit Quality</w:t>
      </w:r>
    </w:p>
    <w:p>
      <w:pPr>
        <w:pStyle w:val="FirstParagraph"/>
      </w:pPr>
      <w:r>
        <w:t xml:space="preserve">A central focus of this Peer Review Report is the technical competence of the Accountant. The review team examined a sample of audit files and financial statements prepared by the Accountant over the past fiscal year. The assessment revealed that the Accountant demonstrates a robust understanding of accounting principles and audit methodologies relevant to Singapore.</w:t>
      </w:r>
    </w:p>
    <w:p>
      <w:pPr>
        <w:pStyle w:val="BodyText"/>
      </w:pPr>
      <w:r>
        <w:t xml:space="preserve">The Accountant’s work papers were found to be well-organized, providing sufficient evidence to support audit opinions. The evaluation of internal controls within client entities was thorough, and the Accountant appropriately identified and addressed significant risks. Furthermore, the Accountant’s application of professional skepticism was evident, particularly in areas involving complex transactions and estimates. This level of diligence is crucial in maintaining the integrity of the financial reporting ecosystem in Singapore.</w:t>
      </w:r>
    </w:p>
    <w:bookmarkEnd w:id="23"/>
    <w:bookmarkStart w:id="24" w:name="X6791cc610dabdca2d7729e72f17608ce3805386"/>
    <w:p>
      <w:pPr>
        <w:pStyle w:val="Heading2"/>
      </w:pPr>
      <w:r>
        <w:t xml:space="preserve">4. Ethical Compliance and Professional Conduct</w:t>
      </w:r>
    </w:p>
    <w:p>
      <w:pPr>
        <w:pStyle w:val="FirstParagraph"/>
      </w:pPr>
      <w:r>
        <w:t xml:space="preserve">Ethical conduct is paramount for any Accountant practicing in Singapore. This Peer Review Report places significant emphasis on the Accountant’s adherence to ethical standards. The review found no evidence of conflicts of interest or breaches of confidentiality. The Accountant has consistently maintained independence in both fact and appearance, which is essential for public trust in the profession.</w:t>
      </w:r>
    </w:p>
    <w:p>
      <w:pPr>
        <w:pStyle w:val="BodyText"/>
      </w:pPr>
      <w:r>
        <w:t xml:space="preserve">The Accountant’s interactions with clients and regulatory bodies were professional and respectful. The review also assessed the Accountant’s commitment to continuing professional development (CPD), a mandatory requirement in Singapore. The Accountant has actively participated in relevant training programs, ensuring that their knowledge remains current with evolving regulations and industry trends.</w:t>
      </w:r>
    </w:p>
    <w:bookmarkEnd w:id="24"/>
    <w:bookmarkStart w:id="25" w:name="areas-for-improvement"/>
    <w:p>
      <w:pPr>
        <w:pStyle w:val="Heading2"/>
      </w:pPr>
      <w:r>
        <w:t xml:space="preserve">5. Areas for Improvement</w:t>
      </w:r>
    </w:p>
    <w:p>
      <w:pPr>
        <w:pStyle w:val="FirstParagraph"/>
      </w:pPr>
      <w:r>
        <w:t xml:space="preserve">While the overall performance of the Accountant is commendable, this Peer Review Report identifies a few areas for enhancement. Firstly, there is an opportunity to improve the documentation of risk assessment procedures to provide even greater clarity for future reviewers. Secondly, the Accountant is encouraged to further leverage technology in audit processes to enhance efficiency and accuracy, aligning with the digital transformation initiatives promoted by Singapore’s regulatory bodies.</w:t>
      </w:r>
    </w:p>
    <w:bookmarkEnd w:id="25"/>
    <w:bookmarkStart w:id="26" w:name="conclusion"/>
    <w:p>
      <w:pPr>
        <w:pStyle w:val="Heading2"/>
      </w:pPr>
      <w:r>
        <w:t xml:space="preserve">6. Conclusion</w:t>
      </w:r>
    </w:p>
    <w:p>
      <w:pPr>
        <w:pStyle w:val="FirstParagraph"/>
      </w:pPr>
      <w:r>
        <w:t xml:space="preserve">In conclusion, this Peer Review Report confirms that the Accountant under review meets the professional standards required in Singapore. The Accountant demonstrates strong technical competence, ethical integrity, and a commitment to continuous improvement. The findings of this review support the Accountant’s continued practice and contribute to the overall credibility of the accounting profession in Singapore.</w:t>
      </w:r>
    </w:p>
    <w:p>
      <w:pPr>
        <w:pStyle w:val="BodyText"/>
      </w:pPr>
      <w:r>
        <w:t xml:space="preserve">It is recommended that the Accountant addresses the minor areas for improvement identified in this report to further elevate the quality of their professional services. This Peer Review Report serves as a testament to the Accountant’s dedication to excellence and their vital role in maintaining the financial integrity of Singapore.</w:t>
      </w:r>
    </w:p>
    <w:bookmarkEnd w:id="26"/>
    <w:p>
      <w:pPr>
        <w:pStyle w:val="BodyText"/>
      </w:pPr>
      <w:r>
        <w:rPr>
          <w:bCs/>
          <w:b/>
        </w:rPr>
        <w:t xml:space="preserve">Reviewed by:</w:t>
      </w:r>
    </w:p>
    <w:p>
      <w:pPr>
        <w:pStyle w:val="BodyText"/>
      </w:pPr>
      <w:r>
        <w:t xml:space="preserve">Senior Peer Reviewer</w:t>
      </w:r>
    </w:p>
    <w:p>
      <w:pPr>
        <w:pStyle w:val="BodyText"/>
      </w:pPr>
      <w:r>
        <w:t xml:space="preserve">Accounting and Corporate Regulatory Authority (ACRA) Accredited Reviewer</w:t>
      </w:r>
    </w:p>
    <w:p>
      <w:pPr>
        <w:pStyle w:val="BodyText"/>
      </w:pPr>
      <w:r>
        <w:t xml:space="preserve">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Singapore</dc:title>
  <dc:creator/>
  <dc:language>en</dc:language>
  <cp:keywords/>
  <dcterms:created xsi:type="dcterms:W3CDTF">2026-10-10T08:52:18Z</dcterms:created>
  <dcterms:modified xsi:type="dcterms:W3CDTF">2026-10-10T08:52:18Z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