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Performance Evaluation of Accountant</w:t>
      </w:r>
    </w:p>
    <w:p>
      <w:pPr>
        <w:pStyle w:val="BodyText"/>
      </w:pPr>
      <w:r>
        <w:rPr>
          <w:bCs/>
          <w:b/>
        </w:rPr>
        <w:t xml:space="preserve">Location:</w:t>
      </w:r>
      <w:r>
        <w:t xml:space="preserve"> </w:t>
      </w:r>
      <w:r>
        <w:t xml:space="preserve">Madrid, Spain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capabilities, technical proficiency, and ethical adherence of the Accountant under review. The evaluation is conducted within the specific regulatory and cultural context of Madrid, Spain, ensuring alignment with the standards set by the Instituto de Contabilidad y Auditoría de Cuentas (ICAC) and the local Colegios Profesionales de Economistas. The primary objective of this review is to verify that the Accountant maintains the high level of expertise required to manage complex financial operations in one of Europe's most dynamic economic hubs.</w:t>
      </w:r>
    </w:p>
    <w:p>
      <w:pPr>
        <w:pStyle w:val="BodyText"/>
      </w:pPr>
      <w:r>
        <w:t xml:space="preserve">The review encompasses an analysis of statutory accounting compliance, tax management under Spanish law, internal control mechanisms, and professional conduct. The findings indicate a generally strong performance, with specific areas identified for enhancement regarding the integration of digital accounting tools and cross-border regulatory updates.</w:t>
      </w:r>
    </w:p>
    <w:bookmarkEnd w:id="21"/>
    <w:bookmarkStart w:id="22" w:name="X724babb4ebd4b9fad1136d274ec698810bc5e91"/>
    <w:p>
      <w:pPr>
        <w:pStyle w:val="Heading2"/>
      </w:pPr>
      <w:r>
        <w:t xml:space="preserve">2. Regulatory Compliance and Technical Standards</w:t>
      </w:r>
    </w:p>
    <w:p>
      <w:pPr>
        <w:pStyle w:val="FirstParagraph"/>
      </w:pPr>
      <w:r>
        <w:t xml:space="preserve">A critical component of this Peer Review Report is the assessment of the Accountant's adherence to the Spanish General Accounting Plan (Plan General de Contabilidad - PGC). Operating in Madrid requires a nuanced understanding of both national standards and the specific nuances of the European Financial Reporting Standards (EFRS) where applicable.</w:t>
      </w:r>
    </w:p>
    <w:p>
      <w:pPr>
        <w:pStyle w:val="BodyText"/>
      </w:pPr>
      <w:r>
        <w:t xml:space="preserve">The Accountant has demonstrated a robust command of the PGC, ensuring that financial statements are prepared with accuracy and transparency. The review of sample ledgers and balance sheets confirms that asset valuation, liability recognition, and equity reporting are consistent with current Spanish legislation. Furthermore, the Accountant has shown diligence in maintaining compliance with the Ley de Sociedades de Capital (Capital Companies Act), which is vital for corporate clients based in the Madrid financial district.</w:t>
      </w:r>
    </w:p>
    <w:p>
      <w:pPr>
        <w:pStyle w:val="BodyText"/>
      </w:pPr>
      <w:r>
        <w:t xml:space="preserve">Regarding tax compliance, the Accountant has effectively managed obligations related to the Impuesto sobre Sociedades (Corporate Income Tax) and the Impuesto sobre el Valor Añadido (IVA). The timely submission of quarterly and annual declarations to the Agencia Tributaria reflects a high degree of organizational competence. However, the review notes that while domestic tax compliance is excellent, there is room for improvement in staying updated with the latest OECD guidelines affecting multinational corporations operating out of Madrid.</w:t>
      </w:r>
    </w:p>
    <w:bookmarkEnd w:id="22"/>
    <w:bookmarkStart w:id="23" w:name="X0f433f8d715a75f21dee18e449d605849690038"/>
    <w:p>
      <w:pPr>
        <w:pStyle w:val="Heading2"/>
      </w:pPr>
      <w:r>
        <w:t xml:space="preserve">3. Professional Competence and Analytical Skills</w:t>
      </w:r>
    </w:p>
    <w:p>
      <w:pPr>
        <w:pStyle w:val="FirstParagraph"/>
      </w:pPr>
      <w:r>
        <w:t xml:space="preserve">The role of an Accountant in Madrid extends beyond mere data entry; it requires strategic insight and analytical rigor. This Peer Review Report evaluates the subject's ability to interpret financial data and provide actionable insights to stakeholders.</w:t>
      </w:r>
    </w:p>
    <w:p>
      <w:pPr>
        <w:pStyle w:val="BodyText"/>
      </w:pPr>
      <w:r>
        <w:t xml:space="preserve">The Accountant has exhibited strong analytical skills, particularly in variance analysis and budget forecasting. During the review period, the Accountant successfully identified discrepancies in operational expenditures for several key clients, leading to cost-saving measures that enhanced profitability. This proactive approach is highly valued in the competitive business environment of Madrid.</w:t>
      </w:r>
    </w:p>
    <w:p>
      <w:pPr>
        <w:pStyle w:val="BodyText"/>
      </w:pPr>
      <w:r>
        <w:t xml:space="preserve">Additionally, the Accountant's proficiency in financial software is commendable. The effective use of ERP systems and specialized accounting software ensures data integrity and efficiency. However, as the Spanish market increasingly adopts artificial intelligence and automated reconciliation tools, it is recommended that the Accountant pursue further training in these emerging technologies to maintain a competitive edge.</w:t>
      </w:r>
    </w:p>
    <w:bookmarkEnd w:id="23"/>
    <w:bookmarkStart w:id="24" w:name="Xe392b7a3cbe83e38fb4506a95f73905ad882931"/>
    <w:p>
      <w:pPr>
        <w:pStyle w:val="Heading2"/>
      </w:pPr>
      <w:r>
        <w:t xml:space="preserve">4. Ethical Conduct and Professional Integrity</w:t>
      </w:r>
    </w:p>
    <w:p>
      <w:pPr>
        <w:pStyle w:val="FirstParagraph"/>
      </w:pPr>
      <w:r>
        <w:t xml:space="preserve">Integrity is the cornerstone of the accounting profession. This Peer Review Report places significant emphasis on the ethical behavior of the Accountant, in accordance with the Code of Ethics of the Spanish Accounting and Auditing Institute.</w:t>
      </w:r>
    </w:p>
    <w:p>
      <w:pPr>
        <w:pStyle w:val="BodyText"/>
      </w:pPr>
      <w:r>
        <w:t xml:space="preserve">The Accountant has consistently demonstrated independence, objectivity, and confidentiality. There were no instances of conflicts of interest or breaches of client confidentiality observed during the review period. The Accountant adheres strictly to the principles of professional skepticism, ensuring that financial reports are free from material misstatement, whether caused by error or fraud.</w:t>
      </w:r>
    </w:p>
    <w:p>
      <w:pPr>
        <w:pStyle w:val="BodyText"/>
      </w:pPr>
      <w:r>
        <w:t xml:space="preserve">In the context of Madrid's diverse business landscape, the Accountant has shown cultural sensitivity and professionalism in dealings with international clients. This ability to navigate cross-cultural communication while maintaining strict ethical standards is a significant strength.</w:t>
      </w:r>
    </w:p>
    <w:bookmarkEnd w:id="24"/>
    <w:bookmarkStart w:id="25" w:name="Xeed892823e6bcfd01986a29df04431ac6287ad6"/>
    <w:p>
      <w:pPr>
        <w:pStyle w:val="Heading2"/>
      </w:pPr>
      <w:r>
        <w:t xml:space="preserve">5. Recommendations and Areas for Improvement</w:t>
      </w:r>
    </w:p>
    <w:p>
      <w:pPr>
        <w:pStyle w:val="FirstParagraph"/>
      </w:pPr>
      <w:r>
        <w:t xml:space="preserve">Based on the findings of this Peer Review Report, the following recommendations are made to further enhance the Accountant's performance:</w:t>
      </w:r>
    </w:p>
    <w:p>
      <w:pPr>
        <w:numPr>
          <w:ilvl w:val="0"/>
          <w:numId w:val="1001"/>
        </w:numPr>
        <w:pStyle w:val="Compact"/>
      </w:pPr>
      <w:r>
        <w:rPr>
          <w:bCs/>
          <w:b/>
        </w:rPr>
        <w:t xml:space="preserve">Continuous Professional Development (CPD):</w:t>
      </w:r>
      <w:r>
        <w:t xml:space="preserve"> </w:t>
      </w:r>
      <w:r>
        <w:t xml:space="preserve">The Accountant should engage in regular CPD activities focused on international tax law and digital transformation in accounting. Given Madrid's status as a global business hub, understanding cross-border regulations is increasingly important.</w:t>
      </w:r>
    </w:p>
    <w:p>
      <w:pPr>
        <w:numPr>
          <w:ilvl w:val="0"/>
          <w:numId w:val="1001"/>
        </w:numPr>
        <w:pStyle w:val="Compact"/>
      </w:pPr>
      <w:r>
        <w:rPr>
          <w:bCs/>
          <w:b/>
        </w:rPr>
        <w:t xml:space="preserve">Technology Integration:</w:t>
      </w:r>
      <w:r>
        <w:t xml:space="preserve"> </w:t>
      </w:r>
      <w:r>
        <w:t xml:space="preserve">It is recommended that the Accountant explore advanced automation tools for financial reporting and audit trails. This will improve efficiency and reduce the risk of human error.</w:t>
      </w:r>
    </w:p>
    <w:p>
      <w:pPr>
        <w:numPr>
          <w:ilvl w:val="0"/>
          <w:numId w:val="1001"/>
        </w:numPr>
        <w:pStyle w:val="Compact"/>
      </w:pPr>
      <w:r>
        <w:rPr>
          <w:bCs/>
          <w:b/>
        </w:rPr>
        <w:t xml:space="preserve">Regulatory Monitoring:</w:t>
      </w:r>
      <w:r>
        <w:t xml:space="preserve"> </w:t>
      </w:r>
      <w:r>
        <w:t xml:space="preserve">Establish a systematic process for monitoring updates from the ICAC and the European Commission to ensure immediate compliance with any changes in accounting standards.</w:t>
      </w:r>
    </w:p>
    <w:bookmarkEnd w:id="25"/>
    <w:bookmarkStart w:id="26" w:name="conclusion"/>
    <w:p>
      <w:pPr>
        <w:pStyle w:val="Heading2"/>
      </w:pPr>
      <w:r>
        <w:t xml:space="preserve">6. Conclusion</w:t>
      </w:r>
    </w:p>
    <w:p>
      <w:pPr>
        <w:pStyle w:val="FirstParagraph"/>
      </w:pPr>
      <w:r>
        <w:t xml:space="preserve">In conclusion, this Peer Review Report confirms that the Accountant possesses the necessary technical skills, ethical grounding, and professional judgment to perform their duties effectively in Madrid, Spain. The Accountant is well-versed in the Spanish General Accounting Plan and local tax regulations, ensuring compliance and reliability for their clients.</w:t>
      </w:r>
    </w:p>
    <w:p>
      <w:pPr>
        <w:pStyle w:val="BodyText"/>
      </w:pPr>
      <w:r>
        <w:t xml:space="preserve">While the overall performance is satisfactory and often exceeds expectations, the recommendations provided herein are intended to support the Accountant's continued growth and adaptation to the evolving financial landscape. By addressing the areas of improvement, the Accountant will further solidify their reputation as a trusted financial professional in the Madrid region.</w:t>
      </w:r>
    </w:p>
    <w:bookmarkEnd w:id="26"/>
    <w:p>
      <w:pPr>
        <w:pStyle w:val="BodyText"/>
      </w:pPr>
      <w:r>
        <w:rPr>
          <w:bCs/>
          <w:b/>
        </w:rPr>
        <w:t xml:space="preserve">Reviewed by:</w:t>
      </w:r>
    </w:p>
    <w:p>
      <w:pPr>
        <w:pStyle w:val="BodyText"/>
      </w:pPr>
      <w:r>
        <w:t xml:space="preserve">Senior Peer Reviewer</w:t>
      </w:r>
    </w:p>
    <w:p>
      <w:pPr>
        <w:pStyle w:val="BodyText"/>
      </w:pPr>
      <w:r>
        <w:t xml:space="preserve">Professional Accounting Body</w:t>
      </w:r>
    </w:p>
    <w:p>
      <w:pPr>
        <w:pStyle w:val="BodyText"/>
      </w:pP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Madrid, Spain</dc:title>
  <dc:creator/>
  <dc:language>en</dc:language>
  <cp:keywords/>
  <dcterms:created xsi:type="dcterms:W3CDTF">2026-10-10T03:49:51Z</dcterms:created>
  <dcterms:modified xsi:type="dcterms:W3CDTF">2026-10-10T03:49:51Z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