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Accountant</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peer-review-report"/>
    <w:p>
      <w:pPr>
        <w:pStyle w:val="Heading1"/>
      </w:pPr>
      <w:r>
        <w:t xml:space="preserve">Peer Review Report</w:t>
      </w:r>
    </w:p>
    <w:p>
      <w:pPr>
        <w:pStyle w:val="FirstParagraph"/>
      </w:pPr>
      <w:r>
        <w:t xml:space="preserve">Evaluation of Professional Competence and Compliance</w:t>
      </w:r>
    </w:p>
    <w:bookmarkEnd w:id="20"/>
    <w:p>
      <w:pPr>
        <w:pStyle w:val="BodyText"/>
      </w:pPr>
      <w:r>
        <w:rPr>
          <w:bCs/>
          <w:b/>
        </w:rPr>
        <w:t xml:space="preserve">Subject of Review</w:t>
      </w:r>
      <w:r>
        <w:t xml:space="preserve"> </w:t>
      </w:r>
      <w:r>
        <w:t xml:space="preserve">Licensed Accountant / Tax Consultant</w:t>
      </w:r>
    </w:p>
    <w:p>
      <w:pPr>
        <w:pStyle w:val="BodyText"/>
      </w:pPr>
      <w:r>
        <w:rPr>
          <w:bCs/>
          <w:b/>
        </w:rPr>
        <w:t xml:space="preserve">Location of Practice</w:t>
      </w:r>
      <w:r>
        <w:t xml:space="preserve"> </w:t>
      </w:r>
      <w:r>
        <w:t xml:space="preserve">Istanbul, Turkey</w:t>
      </w:r>
    </w:p>
    <w:p>
      <w:pPr>
        <w:pStyle w:val="BodyText"/>
      </w:pPr>
      <w:r>
        <w:rPr>
          <w:bCs/>
          <w:b/>
        </w:rPr>
        <w:t xml:space="preserve">Review Date</w:t>
      </w:r>
      <w:r>
        <w:t xml:space="preserve"> </w:t>
      </w:r>
      <w:r>
        <w:t xml:space="preserve">October 24, 2023</w:t>
      </w:r>
    </w:p>
    <w:p>
      <w:pPr>
        <w:pStyle w:val="BodyText"/>
      </w:pPr>
      <w:r>
        <w:rPr>
          <w:bCs/>
          <w:b/>
        </w:rPr>
        <w:t xml:space="preserve">Reviewing Body</w:t>
      </w:r>
      <w:r>
        <w:t xml:space="preserve"> </w:t>
      </w:r>
      <w:r>
        <w:t xml:space="preserve">Independent Peer Review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details the comprehensive evaluation of a practicing</w:t>
      </w:r>
      <w:r>
        <w:t xml:space="preserve"> </w:t>
      </w:r>
      <w:r>
        <w:rPr>
          <w:bCs/>
          <w:b/>
        </w:rPr>
        <w:t xml:space="preserve">Accountant</w:t>
      </w:r>
      <w:r>
        <w:t xml:space="preserve"> </w:t>
      </w:r>
      <w:r>
        <w:t xml:space="preserve">operating within the dynamic financial landscape of</w:t>
      </w:r>
      <w:r>
        <w:t xml:space="preserve"> </w:t>
      </w:r>
      <w:r>
        <w:rPr>
          <w:bCs/>
          <w:b/>
        </w:rPr>
        <w:t xml:space="preserve">Turkey Istanbul</w:t>
      </w:r>
      <w:r>
        <w:t xml:space="preserve">. The primary objective of this review was to assess the subject's adherence to the Turkish Code of Ethics for Professional Accountants, compliance with local tax regulations enforced by the Istanbul Tax Directorate, and the overall quality of financial reporting services provided to clients.</w:t>
      </w:r>
    </w:p>
    <w:p>
      <w:pPr>
        <w:pStyle w:val="BodyText"/>
      </w:pPr>
      <w:r>
        <w:t xml:space="preserve">Istanbul serves as the economic hub of Turkey, hosting a diverse mix of multinational corporations, SMEs, and startups. Consequently, the regulatory environment is rigorous. This report confirms that the reviewed</w:t>
      </w:r>
      <w:r>
        <w:t xml:space="preserve"> </w:t>
      </w:r>
      <w:r>
        <w:rPr>
          <w:bCs/>
          <w:b/>
        </w:rPr>
        <w:t xml:space="preserve">Accountant</w:t>
      </w:r>
      <w:r>
        <w:t xml:space="preserve"> </w:t>
      </w:r>
      <w:r>
        <w:t xml:space="preserve">demonstrates a high level of proficiency in navigating the complexities of Turkish Commercial Law and the Turkish Tax Procedure Law. The review process involved a detailed examination of client files, tax returns, and internal control procedures.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covered a twelve-month period of the</w:t>
      </w:r>
      <w:r>
        <w:t xml:space="preserve"> </w:t>
      </w:r>
      <w:r>
        <w:rPr>
          <w:bCs/>
          <w:b/>
        </w:rPr>
        <w:t xml:space="preserve">Accountant</w:t>
      </w:r>
      <w:r>
        <w:t xml:space="preserve">'s practice in</w:t>
      </w:r>
      <w:r>
        <w:t xml:space="preserve"> </w:t>
      </w:r>
      <w:r>
        <w:rPr>
          <w:bCs/>
          <w:b/>
        </w:rPr>
        <w:t xml:space="preserve">Turkey Istanbul</w:t>
      </w:r>
      <w:r>
        <w:t xml:space="preserve">. The methodology included:</w:t>
      </w:r>
    </w:p>
    <w:p>
      <w:pPr>
        <w:numPr>
          <w:ilvl w:val="0"/>
          <w:numId w:val="1001"/>
        </w:numPr>
        <w:pStyle w:val="Compact"/>
      </w:pPr>
      <w:r>
        <w:rPr>
          <w:bCs/>
          <w:b/>
        </w:rPr>
        <w:t xml:space="preserve">File Inspection:</w:t>
      </w:r>
      <w:r>
        <w:t xml:space="preserve"> </w:t>
      </w:r>
      <w:r>
        <w:t xml:space="preserve">Random selection of 15 client files, including corporate tax returns (Kurumlar Vergisi) and Value Added Tax (KDV) declarations.</w:t>
      </w:r>
    </w:p>
    <w:p>
      <w:pPr>
        <w:numPr>
          <w:ilvl w:val="0"/>
          <w:numId w:val="1001"/>
        </w:numPr>
        <w:pStyle w:val="Compact"/>
      </w:pPr>
      <w:r>
        <w:rPr>
          <w:bCs/>
          <w:b/>
        </w:rPr>
        <w:t xml:space="preserve">Regulatory Compliance Check:</w:t>
      </w:r>
      <w:r>
        <w:t xml:space="preserve"> </w:t>
      </w:r>
      <w:r>
        <w:t xml:space="preserve">Verification of filings against the requirements of the Istanbul Tax Office and the Ministry of Treasury and Finance.</w:t>
      </w:r>
    </w:p>
    <w:p>
      <w:pPr>
        <w:numPr>
          <w:ilvl w:val="0"/>
          <w:numId w:val="1001"/>
        </w:numPr>
        <w:pStyle w:val="Compact"/>
      </w:pPr>
      <w:r>
        <w:rPr>
          <w:bCs/>
          <w:b/>
        </w:rPr>
        <w:t xml:space="preserve">Interviews:</w:t>
      </w:r>
      <w:r>
        <w:t xml:space="preserve"> </w:t>
      </w:r>
      <w:r>
        <w:t xml:space="preserve">Discussions with the</w:t>
      </w:r>
      <w:r>
        <w:t xml:space="preserve"> </w:t>
      </w:r>
      <w:r>
        <w:rPr>
          <w:bCs/>
          <w:b/>
        </w:rPr>
        <w:t xml:space="preserve">Accountant</w:t>
      </w:r>
      <w:r>
        <w:t xml:space="preserve"> </w:t>
      </w:r>
      <w:r>
        <w:t xml:space="preserve">regarding their approach to inflation accounting and currency translation, which are critical issues in the current Turkish economic climate.</w:t>
      </w:r>
    </w:p>
    <w:p>
      <w:pPr>
        <w:numPr>
          <w:ilvl w:val="0"/>
          <w:numId w:val="1001"/>
        </w:numPr>
        <w:pStyle w:val="Compact"/>
      </w:pPr>
      <w:r>
        <w:rPr>
          <w:bCs/>
          <w:b/>
        </w:rPr>
        <w:t xml:space="preserve">Client Feedback Analysis:</w:t>
      </w:r>
      <w:r>
        <w:t xml:space="preserve"> </w:t>
      </w:r>
      <w:r>
        <w:t xml:space="preserve">Review of satisfaction metrics from clients based in the Istanbul metropolitan area.</w:t>
      </w:r>
    </w:p>
    <w:bookmarkEnd w:id="22"/>
    <w:bookmarkStart w:id="26" w:name="detailed-findings"/>
    <w:p>
      <w:pPr>
        <w:pStyle w:val="Heading2"/>
      </w:pPr>
      <w:r>
        <w:t xml:space="preserve">3. Detailed Findings</w:t>
      </w:r>
    </w:p>
    <w:bookmarkStart w:id="23" w:name="technical-competence-and-local-knowledge"/>
    <w:p>
      <w:pPr>
        <w:pStyle w:val="Heading3"/>
      </w:pPr>
      <w:r>
        <w:t xml:space="preserve">3.1 Technical Competence and Local Knowledge</w:t>
      </w:r>
    </w:p>
    <w:p>
      <w:pPr>
        <w:pStyle w:val="FirstParagraph"/>
      </w:pPr>
      <w:r>
        <w:t xml:space="preserve">The</w:t>
      </w:r>
      <w:r>
        <w:t xml:space="preserve"> </w:t>
      </w:r>
      <w:r>
        <w:rPr>
          <w:bCs/>
          <w:b/>
        </w:rPr>
        <w:t xml:space="preserve">Accountant</w:t>
      </w:r>
      <w:r>
        <w:t xml:space="preserve"> </w:t>
      </w:r>
      <w:r>
        <w:t xml:space="preserve">exhibited exceptional technical knowledge relevant to</w:t>
      </w:r>
      <w:r>
        <w:t xml:space="preserve"> </w:t>
      </w:r>
      <w:r>
        <w:rPr>
          <w:bCs/>
          <w:b/>
        </w:rPr>
        <w:t xml:space="preserve">Turkey Istanbul</w:t>
      </w:r>
      <w:r>
        <w:t xml:space="preserve">. Specifically, the handling of "Inflation Accounting" (Enflasyon Muhasebesi) was reviewed. Given the high inflation rates in Turkey, accurate application of the "Regulation on the Adjustment of Financial Statements of Business Entities Affected by Inflation" is mandatory for many entities. The review found that the</w:t>
      </w:r>
      <w:r>
        <w:t xml:space="preserve"> </w:t>
      </w:r>
      <w:r>
        <w:rPr>
          <w:bCs/>
          <w:b/>
        </w:rPr>
        <w:t xml:space="preserve">Accountant</w:t>
      </w:r>
      <w:r>
        <w:t xml:space="preserve"> </w:t>
      </w:r>
      <w:r>
        <w:t xml:space="preserve">correctly applied these adjustments, ensuring that financial statements reflected the true economic reality of the clients' operations in Istanbul.</w:t>
      </w:r>
    </w:p>
    <w:p>
      <w:pPr>
        <w:pStyle w:val="BodyText"/>
      </w:pPr>
      <w:r>
        <w:t xml:space="preserve">Furthermore, the management of foreign currency transactions was exemplary. With many Istanbul-based firms dealing in USD and EUR, the</w:t>
      </w:r>
      <w:r>
        <w:t xml:space="preserve"> </w:t>
      </w:r>
      <w:r>
        <w:rPr>
          <w:bCs/>
          <w:b/>
        </w:rPr>
        <w:t xml:space="preserve">Accountant</w:t>
      </w:r>
      <w:r>
        <w:t xml:space="preserve"> </w:t>
      </w:r>
      <w:r>
        <w:t xml:space="preserve">demonstrated precise calculation of exchange rate differences and their tax implications, adhering strictly to Turkish accounting standards.</w:t>
      </w:r>
    </w:p>
    <w:bookmarkEnd w:id="23"/>
    <w:bookmarkStart w:id="24" w:name="compliance-with-tax-legislation"/>
    <w:p>
      <w:pPr>
        <w:pStyle w:val="Heading3"/>
      </w:pPr>
      <w:r>
        <w:t xml:space="preserve">3.2 Compliance with Tax Legislation</w:t>
      </w:r>
    </w:p>
    <w:p>
      <w:pPr>
        <w:pStyle w:val="FirstParagraph"/>
      </w:pPr>
      <w:r>
        <w:t xml:space="preserve">A critical component of this</w:t>
      </w:r>
      <w:r>
        <w:t xml:space="preserve"> </w:t>
      </w:r>
      <w:r>
        <w:rPr>
          <w:bCs/>
          <w:b/>
        </w:rPr>
        <w:t xml:space="preserve">Peer Review Report</w:t>
      </w:r>
      <w:r>
        <w:t xml:space="preserve"> </w:t>
      </w:r>
      <w:r>
        <w:t xml:space="preserve">is the assessment of tax compliance. The</w:t>
      </w:r>
      <w:r>
        <w:t xml:space="preserve"> </w:t>
      </w:r>
      <w:r>
        <w:rPr>
          <w:bCs/>
          <w:b/>
        </w:rPr>
        <w:t xml:space="preserve">Accountant</w:t>
      </w:r>
      <w:r>
        <w:t xml:space="preserve"> </w:t>
      </w:r>
      <w:r>
        <w:t xml:space="preserve">was evaluated on their timeliness and accuracy in submitting declarations via the GIB (Gelir İdaresi Başkanlığı) e-Declaration system.</w:t>
      </w:r>
    </w:p>
    <w:p>
      <w:pPr>
        <w:numPr>
          <w:ilvl w:val="0"/>
          <w:numId w:val="1002"/>
        </w:numPr>
        <w:pStyle w:val="Compact"/>
      </w:pPr>
      <w:r>
        <w:rPr>
          <w:bCs/>
          <w:b/>
        </w:rPr>
        <w:t xml:space="preserve">Corporate Tax:</w:t>
      </w:r>
      <w:r>
        <w:t xml:space="preserve"> </w:t>
      </w:r>
      <w:r>
        <w:t xml:space="preserve">All reviewed corporate tax returns were filed before the statutory deadlines. The calculations for taxable income were supported by adequate documentation.</w:t>
      </w:r>
    </w:p>
    <w:p>
      <w:pPr>
        <w:numPr>
          <w:ilvl w:val="0"/>
          <w:numId w:val="1002"/>
        </w:numPr>
        <w:pStyle w:val="Compact"/>
      </w:pPr>
      <w:r>
        <w:rPr>
          <w:bCs/>
          <w:b/>
        </w:rPr>
        <w:t xml:space="preserve">Value Added Tax (VAT):</w:t>
      </w:r>
      <w:r>
        <w:t xml:space="preserve"> </w:t>
      </w:r>
      <w:r>
        <w:t xml:space="preserve">The</w:t>
      </w:r>
      <w:r>
        <w:t xml:space="preserve"> </w:t>
      </w:r>
      <w:r>
        <w:rPr>
          <w:bCs/>
          <w:b/>
        </w:rPr>
        <w:t xml:space="preserve">Accountant</w:t>
      </w:r>
      <w:r>
        <w:t xml:space="preserve"> </w:t>
      </w:r>
      <w:r>
        <w:t xml:space="preserve">correctly managed the distinction between domestic and export VAT, a common complexity for logistics and trade companies in Istanbul.</w:t>
      </w:r>
    </w:p>
    <w:p>
      <w:pPr>
        <w:numPr>
          <w:ilvl w:val="0"/>
          <w:numId w:val="1002"/>
        </w:numPr>
        <w:pStyle w:val="Compact"/>
      </w:pPr>
      <w:r>
        <w:rPr>
          <w:bCs/>
          <w:b/>
        </w:rPr>
        <w:t xml:space="preserve">Withholding Taxes:</w:t>
      </w:r>
      <w:r>
        <w:t xml:space="preserve"> </w:t>
      </w:r>
      <w:r>
        <w:t xml:space="preserve">Proper withholding on dividends and interest payments was observed, ensuring compliance with the Turkish Income Tax Law.</w:t>
      </w:r>
    </w:p>
    <w:bookmarkEnd w:id="24"/>
    <w:bookmarkStart w:id="25" w:name="professional-ethics-and-independence"/>
    <w:p>
      <w:pPr>
        <w:pStyle w:val="Heading3"/>
      </w:pPr>
      <w:r>
        <w:t xml:space="preserve">3.3 Professional Ethics and Independence</w:t>
      </w:r>
    </w:p>
    <w:p>
      <w:pPr>
        <w:pStyle w:val="FirstParagraph"/>
      </w:pPr>
      <w:r>
        <w:t xml:space="preserve">The review assessed the</w:t>
      </w:r>
      <w:r>
        <w:t xml:space="preserve"> </w:t>
      </w:r>
      <w:r>
        <w:rPr>
          <w:bCs/>
          <w:b/>
        </w:rPr>
        <w:t xml:space="preserve">Accountant</w:t>
      </w:r>
      <w:r>
        <w:t xml:space="preserve">'s adherence to the ethical principles set forth by the Turkish Chamber of Certified Public Accountants (TÜRMOB). The</w:t>
      </w:r>
      <w:r>
        <w:t xml:space="preserve"> </w:t>
      </w:r>
      <w:r>
        <w:rPr>
          <w:bCs/>
          <w:b/>
        </w:rPr>
        <w:t xml:space="preserve">Accountant</w:t>
      </w:r>
      <w:r>
        <w:t xml:space="preserve"> </w:t>
      </w:r>
      <w:r>
        <w:t xml:space="preserve">maintained strict independence in all reviewed engagements. There were no conflicts of interest identified. The confidentiality of client data, particularly sensitive financial information of Istanbul-based enterprises, was protected through robust IT security measures and data privacy protocols compliant with the Turkish Law on Protection of Personal Data (KVKK).</w:t>
      </w:r>
    </w:p>
    <w:bookmarkEnd w:id="25"/>
    <w:bookmarkEnd w:id="26"/>
    <w:bookmarkStart w:id="27" w:name="quality-control-and-internal-procedures"/>
    <w:p>
      <w:pPr>
        <w:pStyle w:val="Heading2"/>
      </w:pPr>
      <w:r>
        <w:t xml:space="preserve">4. Quality Control and Internal Procedures</w:t>
      </w:r>
    </w:p>
    <w:p>
      <w:pPr>
        <w:pStyle w:val="FirstParagraph"/>
      </w:pPr>
      <w:r>
        <w:t xml:space="preserve">The</w:t>
      </w:r>
      <w:r>
        <w:t xml:space="preserve"> </w:t>
      </w:r>
      <w:r>
        <w:rPr>
          <w:bCs/>
          <w:b/>
        </w:rPr>
        <w:t xml:space="preserve">Peer Review Report</w:t>
      </w:r>
      <w:r>
        <w:t xml:space="preserve"> </w:t>
      </w:r>
      <w:r>
        <w:t xml:space="preserve">highlights the</w:t>
      </w:r>
      <w:r>
        <w:t xml:space="preserve"> </w:t>
      </w:r>
      <w:r>
        <w:rPr>
          <w:bCs/>
          <w:b/>
        </w:rPr>
        <w:t xml:space="preserve">Accountant</w:t>
      </w:r>
      <w:r>
        <w:t xml:space="preserve">'s implementation of a structured quality control system. In the fast-paced environment of</w:t>
      </w:r>
      <w:r>
        <w:t xml:space="preserve"> </w:t>
      </w:r>
      <w:r>
        <w:rPr>
          <w:bCs/>
          <w:b/>
        </w:rPr>
        <w:t xml:space="preserve">Turkey Istanbul</w:t>
      </w:r>
      <w:r>
        <w:t xml:space="preserve">, where business transactions occur rapidly, maintaining accuracy is challenging. However, the</w:t>
      </w:r>
      <w:r>
        <w:t xml:space="preserve"> </w:t>
      </w:r>
      <w:r>
        <w:rPr>
          <w:bCs/>
          <w:b/>
        </w:rPr>
        <w:t xml:space="preserve">Accountant</w:t>
      </w:r>
      <w:r>
        <w:t xml:space="preserve"> </w:t>
      </w:r>
      <w:r>
        <w:t xml:space="preserve">utilizes a multi-tier review process for all financial statements before issuance.</w:t>
      </w:r>
    </w:p>
    <w:p>
      <w:pPr>
        <w:pStyle w:val="BodyText"/>
      </w:pPr>
      <w:r>
        <w:t xml:space="preserve">Documentation standards were found to be high. Working papers were organized logically, allowing for easy traceability of figures from the general ledger to the final financial statements. This level of documentation is essential for withstanding potential audits by the Istanbul Tax Directorate.</w:t>
      </w:r>
    </w:p>
    <w:bookmarkEnd w:id="27"/>
    <w:bookmarkStart w:id="28" w:name="areas-for-improvement"/>
    <w:p>
      <w:pPr>
        <w:pStyle w:val="Heading2"/>
      </w:pPr>
      <w:r>
        <w:t xml:space="preserve">5.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minor areas for enhancement:</w:t>
      </w:r>
    </w:p>
    <w:p>
      <w:pPr>
        <w:numPr>
          <w:ilvl w:val="0"/>
          <w:numId w:val="1003"/>
        </w:numPr>
        <w:pStyle w:val="Compact"/>
      </w:pPr>
      <w:r>
        <w:rPr>
          <w:bCs/>
          <w:b/>
        </w:rPr>
        <w:t xml:space="preserve">Digital Transformation:</w:t>
      </w:r>
      <w:r>
        <w:t xml:space="preserve"> </w:t>
      </w:r>
      <w:r>
        <w:t xml:space="preserve">Although the</w:t>
      </w:r>
      <w:r>
        <w:t xml:space="preserve"> </w:t>
      </w:r>
      <w:r>
        <w:rPr>
          <w:bCs/>
          <w:b/>
        </w:rPr>
        <w:t xml:space="preserve">Accountant</w:t>
      </w:r>
      <w:r>
        <w:t xml:space="preserve"> </w:t>
      </w:r>
      <w:r>
        <w:t xml:space="preserve">uses standard accounting software, there is an opportunity to integrate more advanced AI-driven analytics tools to provide deeper financial insights to clients in the competitive Istanbul market.</w:t>
      </w:r>
    </w:p>
    <w:p>
      <w:pPr>
        <w:numPr>
          <w:ilvl w:val="0"/>
          <w:numId w:val="1003"/>
        </w:numPr>
        <w:pStyle w:val="Compact"/>
      </w:pPr>
      <w:r>
        <w:rPr>
          <w:bCs/>
          <w:b/>
        </w:rPr>
        <w:t xml:space="preserve">Continuing Professional Development (CPD):</w:t>
      </w:r>
      <w:r>
        <w:t xml:space="preserve"> </w:t>
      </w:r>
      <w:r>
        <w:t xml:space="preserve">While the</w:t>
      </w:r>
      <w:r>
        <w:t xml:space="preserve"> </w:t>
      </w:r>
      <w:r>
        <w:rPr>
          <w:bCs/>
          <w:b/>
        </w:rPr>
        <w:t xml:space="preserve">Accountant</w:t>
      </w:r>
      <w:r>
        <w:t xml:space="preserve"> </w:t>
      </w:r>
      <w:r>
        <w:t xml:space="preserve">meets the minimum CPD requirements, increasing focus on international financial reporting standards (IFRS) would be beneficial, as many Istanbul-based firms are preparing for international expansion or listing.</w:t>
      </w:r>
    </w:p>
    <w:bookmarkEnd w:id="28"/>
    <w:bookmarkStart w:id="30" w:name="conclusion-and-rating"/>
    <w:p>
      <w:pPr>
        <w:pStyle w:val="Heading2"/>
      </w:pPr>
      <w:r>
        <w:t xml:space="preserve">6. Conclusion and Rating</w:t>
      </w:r>
    </w:p>
    <w:p>
      <w:pPr>
        <w:pStyle w:val="FirstParagraph"/>
      </w:pPr>
      <w:r>
        <w:t xml:space="preserve">Based on the evidence gathered during this</w:t>
      </w:r>
      <w:r>
        <w:t xml:space="preserve"> </w:t>
      </w:r>
      <w:r>
        <w:rPr>
          <w:bCs/>
          <w:b/>
        </w:rPr>
        <w:t xml:space="preserve">Peer Review Report</w:t>
      </w:r>
      <w:r>
        <w:t xml:space="preserve">, the</w:t>
      </w:r>
      <w:r>
        <w:t xml:space="preserve"> </w:t>
      </w:r>
      <w:r>
        <w:rPr>
          <w:bCs/>
          <w:b/>
        </w:rPr>
        <w:t xml:space="preserve">Accountant</w:t>
      </w:r>
      <w:r>
        <w:t xml:space="preserve"> </w:t>
      </w:r>
      <w:r>
        <w:t xml:space="preserve">is deemed fully competent and compliant with all relevant regulations in</w:t>
      </w:r>
      <w:r>
        <w:t xml:space="preserve"> </w:t>
      </w:r>
      <w:r>
        <w:rPr>
          <w:bCs/>
          <w:b/>
        </w:rPr>
        <w:t xml:space="preserve">Turkey Istanbul</w:t>
      </w:r>
      <w:r>
        <w:t xml:space="preserve">. The professional demonstrates a strong commitment to ethical standards, technical accuracy, and client service. The ability to navigate the specific fiscal challenges of the Turkish economy, particularly regarding inflation and currency volatility, marks this professional as a reliable asset to the business community in Istanbul.</w:t>
      </w:r>
    </w:p>
    <w:p>
      <w:pPr>
        <w:pStyle w:val="BodyText"/>
      </w:pPr>
      <w:r>
        <w:t xml:space="preserve">Excellent</w:t>
      </w:r>
    </w:p>
    <w:p>
      <w:pPr>
        <w:pStyle w:val="BodyText"/>
      </w:pPr>
      <w:r>
        <w:t xml:space="preserve">Overall Peer Review Rating</w:t>
      </w:r>
    </w:p>
    <w:bookmarkStart w:id="29" w:name="recommendation"/>
    <w:p>
      <w:pPr>
        <w:pStyle w:val="Heading3"/>
      </w:pPr>
      <w:r>
        <w:t xml:space="preserve">Recommendation</w:t>
      </w:r>
    </w:p>
    <w:p>
      <w:pPr>
        <w:pStyle w:val="FirstParagraph"/>
      </w:pPr>
      <w:r>
        <w:t xml:space="preserve">It is the recommendation of this committee that the</w:t>
      </w:r>
      <w:r>
        <w:t xml:space="preserve"> </w:t>
      </w:r>
      <w:r>
        <w:rPr>
          <w:bCs/>
          <w:b/>
        </w:rPr>
        <w:t xml:space="preserve">Accountant</w:t>
      </w:r>
      <w:r>
        <w:t xml:space="preserve"> </w:t>
      </w:r>
      <w:r>
        <w:t xml:space="preserve">be granted full accreditation for the upcoming fiscal year. The</w:t>
      </w:r>
      <w:r>
        <w:t xml:space="preserve"> </w:t>
      </w:r>
      <w:r>
        <w:rPr>
          <w:bCs/>
          <w:b/>
        </w:rPr>
        <w:t xml:space="preserve">Peer Review Report</w:t>
      </w:r>
      <w:r>
        <w:t xml:space="preserve"> </w:t>
      </w:r>
      <w:r>
        <w:t xml:space="preserve">concludes that the professional practice meets the highest standards expected in</w:t>
      </w:r>
      <w:r>
        <w:t xml:space="preserve"> </w:t>
      </w:r>
      <w:r>
        <w:rPr>
          <w:bCs/>
          <w:b/>
        </w:rPr>
        <w:t xml:space="preserve">Turkey Istanbul</w:t>
      </w:r>
      <w:r>
        <w:t xml:space="preserve">.</w:t>
      </w:r>
    </w:p>
    <w:bookmarkEnd w:id="29"/>
    <w:bookmarkEnd w:id="30"/>
    <w:p>
      <w:pPr>
        <w:pStyle w:val="BodyText"/>
      </w:pPr>
      <w:r>
        <w:t xml:space="preserve">This document is a formal</w:t>
      </w:r>
      <w:r>
        <w:t xml:space="preserve"> </w:t>
      </w:r>
      <w:r>
        <w:rPr>
          <w:bCs/>
          <w:b/>
        </w:rPr>
        <w:t xml:space="preserve">Peer Review Report</w:t>
      </w:r>
      <w:r>
        <w:t xml:space="preserve"> </w:t>
      </w:r>
      <w:r>
        <w:t xml:space="preserve">intended for professional use.</w:t>
      </w:r>
      <w:r>
        <w:br/>
      </w:r>
      <w:r>
        <w:t xml:space="preserve">Generated for the evaluation of an</w:t>
      </w:r>
      <w:r>
        <w:t xml:space="preserve"> </w:t>
      </w:r>
      <w:r>
        <w:rPr>
          <w:bCs/>
          <w:b/>
        </w:rPr>
        <w:t xml:space="preserve">Accountant</w:t>
      </w:r>
      <w:r>
        <w:t xml:space="preserve"> </w:t>
      </w:r>
      <w:r>
        <w:t xml:space="preserve">in</w:t>
      </w:r>
      <w:r>
        <w:t xml:space="preserve"> </w:t>
      </w:r>
      <w:r>
        <w:rPr>
          <w:bCs/>
          <w:b/>
        </w:rPr>
        <w:t xml:space="preserve">Turkey Istanbul</w:t>
      </w:r>
      <w:r>
        <w:t xml:space="preserve">.</w:t>
      </w:r>
      <w:r>
        <w:br/>
      </w:r>
      <w:r>
        <w:t xml:space="preserve">© 2023 Independent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Accountant Services - Istanbul, Turkey</dc:title>
  <dc:creator/>
  <dc:language>en</dc:language>
  <cp:keywords/>
  <dcterms:created xsi:type="dcterms:W3CDTF">2026-10-10T04:45:26Z</dcterms:created>
  <dcterms:modified xsi:type="dcterms:W3CDTF">2026-10-10T04:45:26Z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