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Compliance of an Accountant</w:t>
      </w:r>
    </w:p>
    <w:p>
      <w:pPr>
        <w:pStyle w:val="BodyText"/>
      </w:pPr>
      <w:r>
        <w:rPr>
          <w:bCs/>
          <w:b/>
        </w:rPr>
        <w:t xml:space="preserve">Jurisdiction:</w:t>
      </w:r>
      <w:r>
        <w:t xml:space="preserve"> </w:t>
      </w:r>
      <w:r>
        <w:t xml:space="preserve">United Arab Emirates, Dubai</w:t>
      </w:r>
    </w:p>
    <w:p>
      <w:pPr>
        <w:pStyle w:val="BodyText"/>
      </w:pPr>
      <w:r>
        <w:rPr>
          <w:bCs/>
          <w:b/>
        </w:rPr>
        <w:t xml:space="preserve">Date of Review:</w:t>
      </w:r>
      <w:r>
        <w:t xml:space="preserve"> </w:t>
      </w:r>
      <w:r>
        <w:t xml:space="preserve">October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ethical adherence of a practicing Accountant operating within the United Arab Emirates, specifically in the emirate of Dubai. The review is conducted in accordance with the regulatory frameworks established by the Dubai Financial Services Authority (DFSA) and the International Federation of Accountants (IFAC), ensuring alignment with both local statutory requirements and global best practices.</w:t>
      </w:r>
    </w:p>
    <w:p>
      <w:pPr>
        <w:pStyle w:val="BodyText"/>
      </w:pPr>
      <w:r>
        <w:t xml:space="preserve">The primary objective of this assessment is to determine whether the Accountant maintains the requisite standards of professionalism, accuracy, and integrity expected in the dynamic financial landscape of Dubai. Given the city's status as a global financial hub, the scrutiny applied in this Peer Review Report is rigorous, focusing on compliance with UAE Federal Tax Authority regulations, corporate governance standards, and international accounting principles.</w:t>
      </w:r>
    </w:p>
    <w:bookmarkEnd w:id="21"/>
    <w:bookmarkStart w:id="22" w:name="regulatory-context-and-compliance"/>
    <w:p>
      <w:pPr>
        <w:pStyle w:val="Heading2"/>
      </w:pPr>
      <w:r>
        <w:t xml:space="preserve">2. Regulatory Context and Compliance</w:t>
      </w:r>
    </w:p>
    <w:p>
      <w:pPr>
        <w:pStyle w:val="FirstParagraph"/>
      </w:pPr>
      <w:r>
        <w:t xml:space="preserve">The practice of accounting in the United Arab Emirates Dubai is governed by a complex interplay of federal laws and emirate-specific regulations. This Peer Review Report assesses the Accountant's adherence to these legal frameworks. Key areas of focus include compliance with the UAE Corporate Tax Law, Value Added Tax (VAT) regulations, and the Commercial Companies Law.</w:t>
      </w:r>
    </w:p>
    <w:p>
      <w:pPr>
        <w:pStyle w:val="BodyText"/>
      </w:pPr>
      <w:r>
        <w:t xml:space="preserve">The Accountant under review has demonstrated a solid understanding of the regulatory environment. However, the review identified areas where enhanced vigilance is required, particularly in the interpretation of recent amendments to tax legislation. In Dubai, where multinational corporations and free zone entities coexist, the Accountant must navigate diverse regulatory obligations. The Peer Review Report notes that while the Accountant generally complies with statutory requirements, there is a need for continuous professional development to stay abreast of evolving regulations in the United Arab Emirates.</w:t>
      </w:r>
    </w:p>
    <w:bookmarkEnd w:id="22"/>
    <w:bookmarkStart w:id="23" w:name="technical-competence-and-quality-of-work"/>
    <w:p>
      <w:pPr>
        <w:pStyle w:val="Heading2"/>
      </w:pPr>
      <w:r>
        <w:t xml:space="preserve">3. Technical Competence and Quality of Work</w:t>
      </w:r>
    </w:p>
    <w:p>
      <w:pPr>
        <w:pStyle w:val="FirstParagraph"/>
      </w:pPr>
      <w:r>
        <w:t xml:space="preserve">A critical component of this Peer Review Report is the evaluation of the Accountant's technical skills. The review examined a sample of financial statements, tax filings, and audit reports prepared by the Accountant. The assessment focused on accuracy, completeness, and adherence to International Financial Reporting Standards (IFRS), which are widely adopted in Dubai.</w:t>
      </w:r>
    </w:p>
    <w:p>
      <w:pPr>
        <w:pStyle w:val="BodyText"/>
      </w:pPr>
      <w:r>
        <w:t xml:space="preserve">The Accountant has shown proficiency in preparing financial statements that reflect the true and fair view of the entities they serve. The use of modern accounting software and digital tools was noted as a positive aspect, aligning with the digital transformation initiatives promoted by the Dubai government. However, the Peer Review Report highlights instances where documentation supporting certain financial entries was insufficient. In the context of Dubai's stringent audit requirements, robust documentation is essential to substantiate financial reporting and ensure transparency.</w:t>
      </w:r>
    </w:p>
    <w:bookmarkEnd w:id="23"/>
    <w:bookmarkStart w:id="24" w:name="X4ce211acb8b02978b825403f312638d11fa1afd"/>
    <w:p>
      <w:pPr>
        <w:pStyle w:val="Heading2"/>
      </w:pPr>
      <w:r>
        <w:t xml:space="preserve">4. Ethical Standards and Professional Conduct</w:t>
      </w:r>
    </w:p>
    <w:p>
      <w:pPr>
        <w:pStyle w:val="FirstParagraph"/>
      </w:pPr>
      <w:r>
        <w:t xml:space="preserve">Ethical integrity is paramount for any Accountant, especially in a jurisdiction like the United Arab Emirates Dubai, where trust and reputation are foundational to business success. This Peer Review Report evaluates the Accountant's adherence to the Code of Ethics for Professional Accountants issued by IFAC and local regulatory bodies.</w:t>
      </w:r>
    </w:p>
    <w:p>
      <w:pPr>
        <w:pStyle w:val="BodyText"/>
      </w:pPr>
      <w:r>
        <w:t xml:space="preserve">The Accountant has generally upheld the principles of integrity, objectivity, and confidentiality. There were no significant breaches of ethical standards identified during the review. However, the Peer Review Report recommends that the Accountant enhance their awareness of potential conflicts of interest, particularly when serving multiple clients within the same industry sector in Dubai. Proactive measures to identify and mitigate such conflicts are essential to maintain professional credibility and comply with ethical guidelines.</w:t>
      </w:r>
    </w:p>
    <w:bookmarkEnd w:id="24"/>
    <w:bookmarkStart w:id="25" w:name="recommendations-and-conclusion"/>
    <w:p>
      <w:pPr>
        <w:pStyle w:val="Heading2"/>
      </w:pPr>
      <w:r>
        <w:t xml:space="preserve">5. Recommendations and Conclusion</w:t>
      </w:r>
    </w:p>
    <w:p>
      <w:pPr>
        <w:pStyle w:val="FirstParagraph"/>
      </w:pPr>
      <w:r>
        <w:t xml:space="preserve">Based on the findings of this Peer Review Report, the following recommendations are made for the Accountant practicing in the United Arab Emirates Dubai:</w:t>
      </w:r>
    </w:p>
    <w:p>
      <w:pPr>
        <w:numPr>
          <w:ilvl w:val="0"/>
          <w:numId w:val="1001"/>
        </w:numPr>
        <w:pStyle w:val="Compact"/>
      </w:pPr>
      <w:r>
        <w:t xml:space="preserve">Engage in continuous professional development to stay updated on changes in UAE tax laws and accounting standards.</w:t>
      </w:r>
    </w:p>
    <w:p>
      <w:pPr>
        <w:numPr>
          <w:ilvl w:val="0"/>
          <w:numId w:val="1001"/>
        </w:numPr>
        <w:pStyle w:val="Compact"/>
      </w:pPr>
      <w:r>
        <w:t xml:space="preserve">Enhance documentation practices to ensure all financial entries are adequately supported and verifiable.</w:t>
      </w:r>
    </w:p>
    <w:p>
      <w:pPr>
        <w:numPr>
          <w:ilvl w:val="0"/>
          <w:numId w:val="1001"/>
        </w:numPr>
        <w:pStyle w:val="Compact"/>
      </w:pPr>
      <w:r>
        <w:t xml:space="preserve">Implement robust procedures to identify and manage potential conflicts of interest.</w:t>
      </w:r>
    </w:p>
    <w:p>
      <w:pPr>
        <w:numPr>
          <w:ilvl w:val="0"/>
          <w:numId w:val="1001"/>
        </w:numPr>
        <w:pStyle w:val="Compact"/>
      </w:pPr>
      <w:r>
        <w:t xml:space="preserve">Strengthen internal quality control mechanisms to ensure consistency and accuracy in financial reporting.</w:t>
      </w:r>
    </w:p>
    <w:p>
      <w:pPr>
        <w:pStyle w:val="FirstParagraph"/>
      </w:pPr>
      <w:r>
        <w:t xml:space="preserve">In conclusion, this Peer Review Report affirms that the Accountant possesses the necessary technical skills and ethical grounding to practice in Dubai. However, adherence to the recommendations outlined above will further enhance their professional standing and ensure full compliance with the regulatory expectations of the United Arab Emirates. The dynamic nature of Dubai's financial sector demands that Accountants remain vigilant, adaptable, and committed to the highest standards of professionalism.</w:t>
      </w:r>
    </w:p>
    <w:bookmarkEnd w:id="25"/>
    <w:p>
      <w:pPr>
        <w:pStyle w:val="BodyText"/>
      </w:pPr>
      <w:r>
        <w:rPr>
          <w:bCs/>
          <w:b/>
        </w:rPr>
        <w:t xml:space="preserve">Prepared by:</w:t>
      </w:r>
    </w:p>
    <w:p>
      <w:pPr>
        <w:pStyle w:val="BodyText"/>
      </w:pPr>
      <w:r>
        <w:t xml:space="preserve">Senior Peer Reviewer</w:t>
      </w:r>
    </w:p>
    <w:p>
      <w:pPr>
        <w:pStyle w:val="BodyText"/>
      </w:pPr>
      <w:r>
        <w:t xml:space="preserve">Accounting Regulatory Body</w:t>
      </w:r>
    </w:p>
    <w:p>
      <w:pPr>
        <w:pStyle w:val="BodyText"/>
      </w:pPr>
      <w:r>
        <w:t xml:space="preserve">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United Arab Emirates Dubai</dc:title>
  <dc:creator/>
  <dc:language>en</dc:language>
  <cp:keywords/>
  <dcterms:created xsi:type="dcterms:W3CDTF">2026-10-10T04:22:44Z</dcterms:created>
  <dcterms:modified xsi:type="dcterms:W3CDTF">2026-10-10T04:22:44Z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