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an Accountant</w:t>
      </w:r>
    </w:p>
    <w:p>
      <w:pPr>
        <w:pStyle w:val="BodyText"/>
      </w:pPr>
      <w:r>
        <w:rPr>
          <w:bCs/>
          <w:b/>
        </w:rPr>
        <w:t xml:space="preserve">Location:</w:t>
      </w:r>
      <w:r>
        <w:t xml:space="preserve"> </w:t>
      </w:r>
      <w:r>
        <w:t xml:space="preserve">United Kingdom Manchester</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standards, and operational efficiency of the Accountant under review. The assessment is conducted in accordance with the regulatory requirements applicable within the United Kingdom, specifically tailored to the business environment and legal framework of Manchester. The primary objective of this review is to ensure that the Accountant maintains the highest standards of financial reporting, compliance, and client service expected by professional bodies such as the Institute of Chartered Accountants in England and Wales (ICAEW) or the Association of Chartered Certified Accountants (ACCA).</w:t>
      </w:r>
    </w:p>
    <w:p>
      <w:pPr>
        <w:pStyle w:val="BodyText"/>
      </w:pPr>
      <w:r>
        <w:t xml:space="preserve">The scope of this review encompasses a detailed examination of the Accountant’s handling of statutory accounts, tax compliance, internal controls, and adherence to the Financial Reporting Council (FRC) Ethical Standard. Given the dynamic economic landscape of Manchester, a major financial hub in the North West of England, the review also assesses the Accountant’s ability to navigate local regulatory nuances and provide strategic financial advice to clients operating in this region.</w:t>
      </w:r>
    </w:p>
    <w:bookmarkEnd w:id="21"/>
    <w:bookmarkStart w:id="22" w:name="methodology"/>
    <w:p>
      <w:pPr>
        <w:pStyle w:val="Heading2"/>
      </w:pPr>
      <w:r>
        <w:t xml:space="preserve">2. Methodology</w:t>
      </w:r>
    </w:p>
    <w:p>
      <w:pPr>
        <w:pStyle w:val="FirstParagraph"/>
      </w:pPr>
      <w:r>
        <w:t xml:space="preserve">The Peer Review Report was compiled through a comprehensive analysis of selected client files, interviews with key staff members, and a review of the Accountant’s internal quality control procedures. The methodology aligns with the International Standard on Quality Control (ISQC) 1 and the specific peer review guidelines mandated for Accountants practicing in the United Kingdom.</w:t>
      </w:r>
    </w:p>
    <w:p>
      <w:pPr>
        <w:pStyle w:val="BodyText"/>
      </w:pPr>
      <w:r>
        <w:t xml:space="preserve">Particular attention was paid to the Accountant’s engagement with clients based in Manchester, including those in the manufacturing, technology, and professional services sectors. The review team examined the accuracy of financial statements prepared for the fiscal year ending March 31, 2023, and verified compliance with UK Generally Accepted Accounting Practice (UK GAAP) and International Financial Reporting Standards (IFRS) where applicable.</w:t>
      </w:r>
    </w:p>
    <w:bookmarkEnd w:id="22"/>
    <w:bookmarkStart w:id="23" w:name="assessment-of-professional-competence"/>
    <w:p>
      <w:pPr>
        <w:pStyle w:val="Heading2"/>
      </w:pPr>
      <w:r>
        <w:t xml:space="preserve">3. Assessment of Professional Competence</w:t>
      </w:r>
    </w:p>
    <w:p>
      <w:pPr>
        <w:pStyle w:val="FirstParagraph"/>
      </w:pPr>
      <w:r>
        <w:t xml:space="preserve">The Accountant demonstrated a robust understanding of the technical requirements necessary for financial reporting in the United Kingdom. The review found that the preparation of statutory accounts was accurate, timely, and in full compliance with the Companies Act 2006. The Accountant’s ability to interpret complex tax legislation, including Corporation Tax and Value Added Tax (VAT) regulations, was evident in the files reviewed.</w:t>
      </w:r>
    </w:p>
    <w:p>
      <w:pPr>
        <w:pStyle w:val="BodyText"/>
      </w:pPr>
      <w:r>
        <w:t xml:space="preserve">In the context of Manchester’s growing business community, the Accountant showed proficiency in advising clients on local incentives and grants, such as those offered by the Greater Manchester Combined Authority. This localized knowledge is crucial for an Accountant operating in this region and adds significant value to client relationships. The review team noted that the Accountant consistently applied professional judgment in areas of estimation and disclosure, ensuring that financial statements presented a true and fair view of the clients’ financial positions.</w:t>
      </w:r>
    </w:p>
    <w:bookmarkEnd w:id="23"/>
    <w:bookmarkStart w:id="24" w:name="ethical-standards-and-independence"/>
    <w:p>
      <w:pPr>
        <w:pStyle w:val="Heading2"/>
      </w:pPr>
      <w:r>
        <w:t xml:space="preserve">4. Ethical Standards and Independence</w:t>
      </w:r>
    </w:p>
    <w:p>
      <w:pPr>
        <w:pStyle w:val="FirstParagraph"/>
      </w:pPr>
      <w:r>
        <w:t xml:space="preserve">Adherence to ethical standards is a cornerstone of the accounting profession. This Peer Review Report confirms that the Accountant has maintained strict independence and objectivity in all engagements. The review examined potential conflicts of interest and found that appropriate safeguards were in place to mitigate any risks. The Accountant’s compliance with the FRC Ethical Standard was satisfactory, with no instances of ethical breaches identified during the review period.</w:t>
      </w:r>
    </w:p>
    <w:p>
      <w:pPr>
        <w:pStyle w:val="BodyText"/>
      </w:pPr>
      <w:r>
        <w:t xml:space="preserve">The Accountant’s commitment to confidentiality and professional behavior was evident in the handling of sensitive client information. This is particularly important in Manchester, where the business community is closely knit, and trust is paramount. The review team commends the Accountant for fostering a culture of integrity within their practice.</w:t>
      </w:r>
    </w:p>
    <w:bookmarkEnd w:id="24"/>
    <w:bookmarkStart w:id="25" w:name="quality-control-and-internal-procedures"/>
    <w:p>
      <w:pPr>
        <w:pStyle w:val="Heading2"/>
      </w:pPr>
      <w:r>
        <w:t xml:space="preserve">5. Quality Control and Internal Procedures</w:t>
      </w:r>
    </w:p>
    <w:p>
      <w:pPr>
        <w:pStyle w:val="FirstParagraph"/>
      </w:pPr>
      <w:r>
        <w:t xml:space="preserve">The Accountant’s internal quality control procedures were found to be effective and well-documented. The review assessed the firm’s policies on engagement acceptance, supervision, and review of work. It was noted that the Accountant implements a rigorous review process for all financial statements before submission to clients and regulatory bodies.</w:t>
      </w:r>
    </w:p>
    <w:p>
      <w:pPr>
        <w:pStyle w:val="BodyText"/>
      </w:pPr>
      <w:r>
        <w:t xml:space="preserve">However, the review identified an area for improvement in the documentation of risk assessments for high-risk engagements. While the Accountant’s technical work was sound, the Peer Review Report recommends enhancing the documentation to provide a clearer audit trail. This is essential for maintaining compliance with UK regulatory expectations and for defending the quality of work in the event of an external audit or inquiry.</w:t>
      </w:r>
    </w:p>
    <w:bookmarkEnd w:id="25"/>
    <w:bookmarkStart w:id="26" w:name="client-service-and-communication"/>
    <w:p>
      <w:pPr>
        <w:pStyle w:val="Heading2"/>
      </w:pPr>
      <w:r>
        <w:t xml:space="preserve">6. Client Service and Communication</w:t>
      </w:r>
    </w:p>
    <w:p>
      <w:pPr>
        <w:pStyle w:val="FirstParagraph"/>
      </w:pPr>
      <w:r>
        <w:t xml:space="preserve">The Accountant’s approach to client service was evaluated through feedback from a sample of clients based in Manchester. The review found that the Accountant is responsive, proactive, and capable of translating complex financial information into actionable insights for clients. This is a critical skill for an Accountant in the United Kingdom, where businesses face increasing regulatory and economic pressures.</w:t>
      </w:r>
    </w:p>
    <w:p>
      <w:pPr>
        <w:pStyle w:val="BodyText"/>
      </w:pPr>
      <w:r>
        <w:t xml:space="preserve">The Accountant’s ability to communicate effectively with clients, tax authorities, and other stakeholders was highlighted as a strength. The review team noted that the Accountant regularly updates clients on changes in tax law and accounting standards, ensuring that they remain compliant and informed.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the Accountant:</w:t>
      </w:r>
    </w:p>
    <w:p>
      <w:pPr>
        <w:numPr>
          <w:ilvl w:val="0"/>
          <w:numId w:val="1001"/>
        </w:numPr>
        <w:pStyle w:val="Compact"/>
      </w:pPr>
      <w:r>
        <w:t xml:space="preserve">Enhance the documentation of risk assessments for high-risk engagements to ensure a comprehensive audit trail.</w:t>
      </w:r>
    </w:p>
    <w:p>
      <w:pPr>
        <w:numPr>
          <w:ilvl w:val="0"/>
          <w:numId w:val="1001"/>
        </w:numPr>
        <w:pStyle w:val="Compact"/>
      </w:pPr>
      <w:r>
        <w:t xml:space="preserve">Continue to invest in professional development to stay abreast of changes in UK accounting standards and tax legislation.</w:t>
      </w:r>
    </w:p>
    <w:p>
      <w:pPr>
        <w:numPr>
          <w:ilvl w:val="0"/>
          <w:numId w:val="1001"/>
        </w:numPr>
        <w:pStyle w:val="Compact"/>
      </w:pPr>
      <w:r>
        <w:t xml:space="preserve">Strengthen internal controls related to data security and client confidentiality, particularly in light of the increasing threat of cyberattacks on businesses in Manchester.</w:t>
      </w:r>
    </w:p>
    <w:p>
      <w:pPr>
        <w:numPr>
          <w:ilvl w:val="0"/>
          <w:numId w:val="1001"/>
        </w:numPr>
        <w:pStyle w:val="Compact"/>
      </w:pPr>
      <w:r>
        <w:t xml:space="preserve">Consider implementing more advanced financial reporting tools to improve efficiency and accuracy in the preparation of statutory accounts.</w:t>
      </w:r>
    </w:p>
    <w:bookmarkEnd w:id="27"/>
    <w:bookmarkStart w:id="28" w:name="conclusion"/>
    <w:p>
      <w:pPr>
        <w:pStyle w:val="Heading2"/>
      </w:pPr>
      <w:r>
        <w:t xml:space="preserve">8. Conclusion</w:t>
      </w:r>
    </w:p>
    <w:p>
      <w:pPr>
        <w:pStyle w:val="FirstParagraph"/>
      </w:pPr>
      <w:r>
        <w:t xml:space="preserve">In conclusion, this Peer Review Report confirms that the Accountant under review maintains a high standard of professional practice. The Accountant’s competence, ethical conduct, and commitment to quality control are commended. The recommendations provided are intended to further enhance the quality of the Accountant’s services and ensure continued compliance with the regulatory requirements of the United Kingdom. The review team is confident that the Accountant is well-positioned to serve the needs of clients in Manchester and beyond.</w:t>
      </w:r>
    </w:p>
    <w:bookmarkEnd w:id="28"/>
    <w:p>
      <w:pPr>
        <w:pStyle w:val="BodyText"/>
      </w:pPr>
      <w:r>
        <w:rPr>
          <w:bCs/>
          <w:b/>
        </w:rPr>
        <w:t xml:space="preserve">Reviewed by:</w:t>
      </w:r>
    </w:p>
    <w:p>
      <w:pPr>
        <w:pStyle w:val="BodyText"/>
      </w:pPr>
      <w:r>
        <w:t xml:space="preserve">John Smith, FCA</w:t>
      </w:r>
    </w:p>
    <w:p>
      <w:pPr>
        <w:pStyle w:val="BodyText"/>
      </w:pPr>
      <w:r>
        <w:t xml:space="preserve">Senior Peer Reviewer</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Practice Assessment</dc:title>
  <dc:creator/>
  <dc:language>en</dc:language>
  <cp:keywords/>
  <dcterms:created xsi:type="dcterms:W3CDTF">2026-10-10T04:22:54Z</dcterms:created>
  <dcterms:modified xsi:type="dcterms:W3CDTF">2026-10-10T04:22:54Z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